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84C26" w14:textId="6C947250" w:rsidR="00E91B72" w:rsidRPr="0090146C" w:rsidRDefault="0090146C" w:rsidP="0090146C">
      <w:pPr>
        <w:pStyle w:val="Heading2"/>
        <w:spacing w:line="360" w:lineRule="auto"/>
        <w:jc w:val="center"/>
        <w:rPr>
          <w:sz w:val="24"/>
          <w:szCs w:val="24"/>
        </w:rPr>
      </w:pPr>
      <w:bookmarkStart w:id="0" w:name="_Toc218886222"/>
      <w:bookmarkStart w:id="1" w:name="_Toc218901282"/>
      <w:bookmarkStart w:id="2" w:name="_Toc219409240"/>
      <w:r w:rsidRPr="00D212EE">
        <w:t>NURHÂLİS MÂCİD</w:t>
      </w:r>
      <w:r>
        <w:t xml:space="preserve"> VE </w:t>
      </w:r>
      <w:r w:rsidRPr="00D212EE">
        <w:t xml:space="preserve">ÇOĞULCULUK </w:t>
      </w:r>
      <w:r>
        <w:t>T</w:t>
      </w:r>
      <w:r w:rsidRPr="00D212EE">
        <w:t>EORİSİ</w:t>
      </w:r>
      <w:bookmarkEnd w:id="0"/>
      <w:bookmarkEnd w:id="1"/>
      <w:bookmarkEnd w:id="2"/>
    </w:p>
    <w:p w14:paraId="1C9FC1CB" w14:textId="2E1CDEFB" w:rsidR="00FE6A96" w:rsidRPr="00830BF6" w:rsidRDefault="00830BF6" w:rsidP="00830BF6">
      <w:pPr>
        <w:spacing w:line="360" w:lineRule="auto"/>
        <w:jc w:val="right"/>
        <w:rPr>
          <w:rFonts w:asciiTheme="majorBidi" w:hAnsiTheme="majorBidi" w:cstheme="majorBidi"/>
          <w:sz w:val="24"/>
          <w:szCs w:val="24"/>
        </w:rPr>
      </w:pPr>
      <w:r w:rsidRPr="002B3A3F">
        <w:rPr>
          <w:rFonts w:asciiTheme="majorBidi" w:hAnsiTheme="majorBidi" w:cstheme="majorBidi"/>
          <w:b/>
          <w:bCs/>
          <w:sz w:val="24"/>
          <w:szCs w:val="24"/>
        </w:rPr>
        <w:t>Saira Ashraf</w:t>
      </w:r>
      <w:r w:rsidRPr="002B3A3F">
        <w:rPr>
          <w:rStyle w:val="FootnoteReference"/>
          <w:rFonts w:asciiTheme="majorBidi" w:hAnsiTheme="majorBidi" w:cstheme="majorBidi"/>
          <w:b/>
          <w:bCs/>
          <w:sz w:val="24"/>
          <w:szCs w:val="24"/>
        </w:rPr>
        <w:t>*</w:t>
      </w:r>
    </w:p>
    <w:p w14:paraId="6467CB7E" w14:textId="6F67E224" w:rsidR="00D212EE" w:rsidRPr="00D212EE" w:rsidRDefault="00D212EE" w:rsidP="00FE6A96">
      <w:pPr>
        <w:pStyle w:val="Heading2"/>
        <w:spacing w:line="360" w:lineRule="auto"/>
        <w:jc w:val="both"/>
      </w:pPr>
      <w:bookmarkStart w:id="3" w:name="_Toc219409241"/>
      <w:r w:rsidRPr="00D212EE">
        <w:t>Özet</w:t>
      </w:r>
      <w:bookmarkEnd w:id="3"/>
    </w:p>
    <w:p w14:paraId="3F6EC3CA" w14:textId="15AD1FA2" w:rsidR="00E91B72" w:rsidRPr="00D212EE" w:rsidRDefault="00E91B72"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Bu çalışma, Endonezya çağdaş İslam düşüncesinin en etkili figürlerinden biri olan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entelektüel mirasını, çoğulculuk merkezli düşünce sistemi üzerinden incelemektedir. </w:t>
      </w:r>
      <w:r w:rsidR="00131745" w:rsidRPr="00131745">
        <w:rPr>
          <w:rFonts w:asciiTheme="majorBidi" w:hAnsiTheme="majorBidi" w:cstheme="majorBidi"/>
          <w:sz w:val="24"/>
          <w:szCs w:val="24"/>
        </w:rPr>
        <w:t xml:space="preserve">Bu çalışma, </w:t>
      </w:r>
      <w:proofErr w:type="spellStart"/>
      <w:r w:rsidR="00131745" w:rsidRPr="00131745">
        <w:rPr>
          <w:rFonts w:asciiTheme="majorBidi" w:hAnsiTheme="majorBidi" w:cstheme="majorBidi"/>
          <w:sz w:val="24"/>
          <w:szCs w:val="24"/>
        </w:rPr>
        <w:t>Mâcid’in</w:t>
      </w:r>
      <w:proofErr w:type="spellEnd"/>
      <w:r w:rsidR="00131745" w:rsidRPr="00131745">
        <w:rPr>
          <w:rFonts w:asciiTheme="majorBidi" w:hAnsiTheme="majorBidi" w:cstheme="majorBidi"/>
          <w:sz w:val="24"/>
          <w:szCs w:val="24"/>
        </w:rPr>
        <w:t xml:space="preserve"> çoğulculuk anlayışını; </w:t>
      </w:r>
      <w:proofErr w:type="spellStart"/>
      <w:r w:rsidR="00131745" w:rsidRPr="00131745">
        <w:rPr>
          <w:rFonts w:asciiTheme="majorBidi" w:hAnsiTheme="majorBidi" w:cstheme="majorBidi"/>
          <w:sz w:val="24"/>
          <w:szCs w:val="24"/>
        </w:rPr>
        <w:t>sosyo</w:t>
      </w:r>
      <w:proofErr w:type="spellEnd"/>
      <w:r w:rsidR="00131745" w:rsidRPr="00131745">
        <w:rPr>
          <w:rFonts w:asciiTheme="majorBidi" w:hAnsiTheme="majorBidi" w:cstheme="majorBidi"/>
          <w:sz w:val="24"/>
          <w:szCs w:val="24"/>
        </w:rPr>
        <w:t>-politik uzlaşı boyutu ve tevhid ilkesine dayanan teolojik arka planı çerçevesinde incelemeyi hedeflemektedir.</w:t>
      </w:r>
      <w:r w:rsidR="00131745">
        <w:rPr>
          <w:rFonts w:asciiTheme="majorBidi" w:hAnsiTheme="majorBidi" w:cstheme="majorBidi"/>
          <w:sz w:val="24"/>
          <w:szCs w:val="24"/>
        </w:rPr>
        <w:t xml:space="preserve"> </w:t>
      </w:r>
      <w:r w:rsidRPr="00D212EE">
        <w:rPr>
          <w:rFonts w:asciiTheme="majorBidi" w:hAnsiTheme="majorBidi" w:cstheme="majorBidi"/>
          <w:sz w:val="24"/>
          <w:szCs w:val="24"/>
        </w:rPr>
        <w:t xml:space="preserve">Bu çerçevede </w:t>
      </w:r>
      <w:r w:rsidR="00FE6A96">
        <w:rPr>
          <w:rFonts w:asciiTheme="majorBidi" w:hAnsiTheme="majorBidi" w:cstheme="majorBidi"/>
          <w:sz w:val="24"/>
          <w:szCs w:val="24"/>
        </w:rPr>
        <w:t>çalışma</w:t>
      </w:r>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düşüncesini teolojik-ontolojik, filolojik-semantik ve </w:t>
      </w:r>
      <w:proofErr w:type="spellStart"/>
      <w:r w:rsidRPr="00D212EE">
        <w:rPr>
          <w:rFonts w:asciiTheme="majorBidi" w:hAnsiTheme="majorBidi" w:cstheme="majorBidi"/>
          <w:sz w:val="24"/>
          <w:szCs w:val="24"/>
        </w:rPr>
        <w:t>sosyo</w:t>
      </w:r>
      <w:proofErr w:type="spellEnd"/>
      <w:r w:rsidRPr="00D212EE">
        <w:rPr>
          <w:rFonts w:asciiTheme="majorBidi" w:hAnsiTheme="majorBidi" w:cstheme="majorBidi"/>
          <w:sz w:val="24"/>
          <w:szCs w:val="24"/>
        </w:rPr>
        <w:t xml:space="preserve">-tarihsel boyutlarıyla ele almakta; Medine toplumu yorumu, </w:t>
      </w: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 xml:space="preserve"> anlayışı ve sekülarizasyon–</w:t>
      </w:r>
      <w:proofErr w:type="spellStart"/>
      <w:r w:rsidRPr="00D212EE">
        <w:rPr>
          <w:rFonts w:asciiTheme="majorBidi" w:hAnsiTheme="majorBidi" w:cstheme="majorBidi"/>
          <w:sz w:val="24"/>
          <w:szCs w:val="24"/>
        </w:rPr>
        <w:t>desakralizasyon</w:t>
      </w:r>
      <w:proofErr w:type="spellEnd"/>
      <w:r w:rsidRPr="00D212EE">
        <w:rPr>
          <w:rFonts w:asciiTheme="majorBidi" w:hAnsiTheme="majorBidi" w:cstheme="majorBidi"/>
          <w:sz w:val="24"/>
          <w:szCs w:val="24"/>
        </w:rPr>
        <w:t xml:space="preserve"> kavramları etrafında şekillenen entegrasyon modelini analiz etmektedir.</w:t>
      </w:r>
    </w:p>
    <w:p w14:paraId="1AD47818" w14:textId="63A38E53" w:rsidR="00E91B72" w:rsidRDefault="00E91B72"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b/>
          <w:bCs/>
          <w:sz w:val="24"/>
          <w:szCs w:val="24"/>
        </w:rPr>
        <w:t>Anahtar Kelimeler:</w:t>
      </w:r>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Çoğulculuk, Neo-Modernizm, Sekülarizasyon, </w:t>
      </w:r>
      <w:proofErr w:type="spellStart"/>
      <w:r w:rsidRPr="00D212EE">
        <w:rPr>
          <w:rFonts w:asciiTheme="majorBidi" w:hAnsiTheme="majorBidi" w:cstheme="majorBidi"/>
          <w:sz w:val="24"/>
          <w:szCs w:val="24"/>
        </w:rPr>
        <w:t>Desakralizasyon</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w:t>
      </w:r>
    </w:p>
    <w:p w14:paraId="5BCBD19E" w14:textId="77777777" w:rsidR="00D212EE" w:rsidRPr="004B42AA" w:rsidRDefault="00D212EE" w:rsidP="00FE6A96">
      <w:pPr>
        <w:pStyle w:val="Heading2"/>
        <w:spacing w:line="360" w:lineRule="auto"/>
        <w:jc w:val="both"/>
      </w:pPr>
      <w:bookmarkStart w:id="4" w:name="_Toc219409242"/>
      <w:proofErr w:type="spellStart"/>
      <w:r w:rsidRPr="004B42AA">
        <w:t>Abstract</w:t>
      </w:r>
      <w:bookmarkEnd w:id="4"/>
      <w:proofErr w:type="spellEnd"/>
    </w:p>
    <w:p w14:paraId="35357B5B" w14:textId="11F056FB" w:rsidR="00D212EE" w:rsidRPr="004B42AA" w:rsidRDefault="00D212EE" w:rsidP="00FE6A96">
      <w:pPr>
        <w:spacing w:line="360" w:lineRule="auto"/>
        <w:ind w:firstLine="720"/>
        <w:jc w:val="both"/>
        <w:rPr>
          <w:rFonts w:asciiTheme="majorBidi" w:hAnsiTheme="majorBidi" w:cstheme="majorBidi"/>
          <w:sz w:val="24"/>
          <w:szCs w:val="24"/>
          <w:lang w:val="en-US"/>
        </w:rPr>
      </w:pPr>
      <w:r w:rsidRPr="004B42AA">
        <w:rPr>
          <w:rFonts w:asciiTheme="majorBidi" w:hAnsiTheme="majorBidi" w:cstheme="majorBidi"/>
          <w:sz w:val="24"/>
          <w:szCs w:val="24"/>
          <w:lang w:val="en-US"/>
        </w:rPr>
        <w:t xml:space="preserve">This study examines the intellectual legacy of </w:t>
      </w:r>
      <w:proofErr w:type="spellStart"/>
      <w:r w:rsidR="004B42AA" w:rsidRPr="004B42AA">
        <w:rPr>
          <w:rFonts w:asciiTheme="majorBidi" w:hAnsiTheme="majorBidi" w:cstheme="majorBidi"/>
          <w:sz w:val="24"/>
          <w:szCs w:val="24"/>
          <w:lang w:val="en-US"/>
        </w:rPr>
        <w:t>Nurcholish</w:t>
      </w:r>
      <w:proofErr w:type="spellEnd"/>
      <w:r w:rsidR="004B42AA" w:rsidRPr="004B42AA">
        <w:rPr>
          <w:rFonts w:asciiTheme="majorBidi" w:hAnsiTheme="majorBidi" w:cstheme="majorBidi"/>
          <w:sz w:val="24"/>
          <w:szCs w:val="24"/>
          <w:lang w:val="en-US"/>
        </w:rPr>
        <w:t xml:space="preserve"> Madjid</w:t>
      </w:r>
      <w:r w:rsidRPr="004B42AA">
        <w:rPr>
          <w:rFonts w:asciiTheme="majorBidi" w:hAnsiTheme="majorBidi" w:cstheme="majorBidi"/>
          <w:sz w:val="24"/>
          <w:szCs w:val="24"/>
          <w:lang w:val="en-US"/>
        </w:rPr>
        <w:t xml:space="preserve">, one of the most influential figures in contemporary Islamic thought in Indonesia, through the lens of his pluralism-centered system of thought. </w:t>
      </w:r>
      <w:r w:rsidR="00131745" w:rsidRPr="00131745">
        <w:rPr>
          <w:rFonts w:asciiTheme="majorBidi" w:hAnsiTheme="majorBidi" w:cstheme="majorBidi"/>
          <w:sz w:val="24"/>
          <w:szCs w:val="24"/>
          <w:lang w:val="en-US"/>
        </w:rPr>
        <w:t xml:space="preserve">This study aims to examine Majid's understanding of pluralism within the framework of its socio-political dimension of consensus and its theological background based on the principle of </w:t>
      </w:r>
      <w:r w:rsidRPr="004B42AA">
        <w:rPr>
          <w:rFonts w:asciiTheme="majorBidi" w:hAnsiTheme="majorBidi" w:cstheme="majorBidi"/>
          <w:sz w:val="24"/>
          <w:szCs w:val="24"/>
          <w:lang w:val="en-US"/>
        </w:rPr>
        <w:t>Tawhid</w:t>
      </w:r>
      <w:r w:rsidR="004B42AA">
        <w:rPr>
          <w:rFonts w:asciiTheme="majorBidi" w:hAnsiTheme="majorBidi" w:cstheme="majorBidi"/>
          <w:sz w:val="24"/>
          <w:szCs w:val="24"/>
          <w:lang w:val="en-US"/>
        </w:rPr>
        <w:t xml:space="preserve">. </w:t>
      </w:r>
      <w:r w:rsidRPr="004B42AA">
        <w:rPr>
          <w:rFonts w:asciiTheme="majorBidi" w:hAnsiTheme="majorBidi" w:cstheme="majorBidi"/>
          <w:sz w:val="24"/>
          <w:szCs w:val="24"/>
          <w:lang w:val="en-US"/>
        </w:rPr>
        <w:t xml:space="preserve">Within this framework, the </w:t>
      </w:r>
      <w:r w:rsidR="00056671">
        <w:rPr>
          <w:rFonts w:asciiTheme="majorBidi" w:hAnsiTheme="majorBidi" w:cstheme="majorBidi"/>
          <w:sz w:val="24"/>
          <w:szCs w:val="24"/>
          <w:lang w:val="en-US"/>
        </w:rPr>
        <w:t>study</w:t>
      </w:r>
      <w:r w:rsidRPr="004B42AA">
        <w:rPr>
          <w:rFonts w:asciiTheme="majorBidi" w:hAnsiTheme="majorBidi" w:cstheme="majorBidi"/>
          <w:sz w:val="24"/>
          <w:szCs w:val="24"/>
          <w:lang w:val="en-US"/>
        </w:rPr>
        <w:t xml:space="preserve"> addresses </w:t>
      </w:r>
      <w:r w:rsidR="004B42AA" w:rsidRPr="004B42AA">
        <w:rPr>
          <w:rFonts w:asciiTheme="majorBidi" w:hAnsiTheme="majorBidi" w:cstheme="majorBidi"/>
          <w:sz w:val="24"/>
          <w:szCs w:val="24"/>
          <w:lang w:val="en-US"/>
        </w:rPr>
        <w:t>Madjid</w:t>
      </w:r>
      <w:r w:rsidRPr="004B42AA">
        <w:rPr>
          <w:rFonts w:asciiTheme="majorBidi" w:hAnsiTheme="majorBidi" w:cstheme="majorBidi"/>
          <w:sz w:val="24"/>
          <w:szCs w:val="24"/>
          <w:lang w:val="en-US"/>
        </w:rPr>
        <w:t>'s thought in its theological-ontological, philological-semantic, and socio-historical dimensions; and analyzes his model of integration shaped around his interpretation of Medinan society, his understanding of Pancasila, and the concepts of secularization and desacralization.</w:t>
      </w:r>
    </w:p>
    <w:p w14:paraId="783C07E9" w14:textId="0CAC4076" w:rsidR="00D212EE" w:rsidRDefault="00D212EE" w:rsidP="00FE6A96">
      <w:pPr>
        <w:spacing w:line="360" w:lineRule="auto"/>
        <w:ind w:firstLine="720"/>
        <w:jc w:val="both"/>
        <w:rPr>
          <w:rFonts w:asciiTheme="majorBidi" w:hAnsiTheme="majorBidi" w:cstheme="majorBidi"/>
          <w:sz w:val="24"/>
          <w:szCs w:val="24"/>
          <w:lang w:val="en-US"/>
        </w:rPr>
      </w:pPr>
      <w:r w:rsidRPr="004B42AA">
        <w:rPr>
          <w:rFonts w:asciiTheme="majorBidi" w:hAnsiTheme="majorBidi" w:cstheme="majorBidi"/>
          <w:b/>
          <w:bCs/>
          <w:sz w:val="24"/>
          <w:szCs w:val="24"/>
          <w:lang w:val="en-US"/>
        </w:rPr>
        <w:t>Keywords</w:t>
      </w:r>
      <w:r w:rsidRPr="004B42AA">
        <w:rPr>
          <w:rFonts w:asciiTheme="majorBidi" w:hAnsiTheme="majorBidi" w:cstheme="majorBidi"/>
          <w:sz w:val="24"/>
          <w:szCs w:val="24"/>
          <w:lang w:val="en-US"/>
        </w:rPr>
        <w:t xml:space="preserve">: </w:t>
      </w:r>
      <w:proofErr w:type="spellStart"/>
      <w:r w:rsidR="004B42AA" w:rsidRPr="004B42AA">
        <w:rPr>
          <w:rFonts w:asciiTheme="majorBidi" w:hAnsiTheme="majorBidi" w:cstheme="majorBidi"/>
          <w:sz w:val="24"/>
          <w:szCs w:val="24"/>
          <w:lang w:val="en-US"/>
        </w:rPr>
        <w:t>Nurcholish</w:t>
      </w:r>
      <w:proofErr w:type="spellEnd"/>
      <w:r w:rsidR="004B42AA" w:rsidRPr="004B42AA">
        <w:rPr>
          <w:rFonts w:asciiTheme="majorBidi" w:hAnsiTheme="majorBidi" w:cstheme="majorBidi"/>
          <w:sz w:val="24"/>
          <w:szCs w:val="24"/>
          <w:lang w:val="en-US"/>
        </w:rPr>
        <w:t xml:space="preserve"> Madjid; Pluralism, Neo-Modernism, Secularization, Desacralization, Pancasila.</w:t>
      </w:r>
    </w:p>
    <w:p w14:paraId="2284A652" w14:textId="77777777" w:rsidR="00131745" w:rsidRPr="004B42AA" w:rsidRDefault="00131745" w:rsidP="00131745">
      <w:pPr>
        <w:spacing w:line="360" w:lineRule="auto"/>
        <w:jc w:val="both"/>
        <w:rPr>
          <w:rFonts w:asciiTheme="majorBidi" w:hAnsiTheme="majorBidi" w:cstheme="majorBidi"/>
          <w:sz w:val="24"/>
          <w:szCs w:val="24"/>
          <w:lang w:val="en-US"/>
        </w:rPr>
      </w:pPr>
    </w:p>
    <w:p w14:paraId="11790B7E" w14:textId="4DF95A50" w:rsidR="004B42AA" w:rsidRDefault="00830BF6" w:rsidP="002B3A3F">
      <w:pPr>
        <w:spacing w:line="360" w:lineRule="auto"/>
        <w:jc w:val="both"/>
        <w:rPr>
          <w:rFonts w:asciiTheme="majorBidi" w:hAnsiTheme="majorBidi" w:cstheme="majorBidi"/>
          <w:sz w:val="20"/>
          <w:szCs w:val="20"/>
        </w:rPr>
      </w:pPr>
      <w:r w:rsidRPr="00830BF6">
        <w:rPr>
          <w:rFonts w:asciiTheme="majorBidi" w:hAnsiTheme="majorBidi" w:cstheme="majorBidi"/>
          <w:sz w:val="20"/>
          <w:szCs w:val="20"/>
        </w:rPr>
        <w:t>* İslam Düşünce Enstitüsü</w:t>
      </w:r>
      <w:r w:rsidR="002B3A3F">
        <w:rPr>
          <w:rFonts w:asciiTheme="majorBidi" w:hAnsiTheme="majorBidi" w:cstheme="majorBidi"/>
          <w:sz w:val="20"/>
          <w:szCs w:val="20"/>
        </w:rPr>
        <w:t xml:space="preserve"> </w:t>
      </w:r>
      <w:r w:rsidR="002B3A3F" w:rsidRPr="002B3A3F">
        <w:rPr>
          <w:rFonts w:asciiTheme="majorBidi" w:hAnsiTheme="majorBidi" w:cstheme="majorBidi"/>
          <w:sz w:val="20"/>
          <w:szCs w:val="20"/>
        </w:rPr>
        <w:t>Mütefekkir Programı Öğrencisi</w:t>
      </w:r>
    </w:p>
    <w:p w14:paraId="36FD7ACE" w14:textId="77777777" w:rsidR="002B3A3F" w:rsidRPr="00D212EE" w:rsidRDefault="002B3A3F" w:rsidP="002B3A3F">
      <w:pPr>
        <w:spacing w:line="360" w:lineRule="auto"/>
        <w:jc w:val="both"/>
        <w:rPr>
          <w:rFonts w:asciiTheme="majorBidi" w:hAnsiTheme="majorBidi" w:cstheme="majorBidi"/>
          <w:sz w:val="24"/>
          <w:szCs w:val="24"/>
        </w:rPr>
      </w:pPr>
    </w:p>
    <w:sdt>
      <w:sdtPr>
        <w:rPr>
          <w:rFonts w:asciiTheme="majorBidi" w:eastAsiaTheme="minorHAnsi" w:hAnsiTheme="majorBidi" w:cstheme="minorBidi"/>
          <w:color w:val="auto"/>
          <w:kern w:val="2"/>
          <w:sz w:val="36"/>
          <w:szCs w:val="36"/>
          <w:lang w:val="tr-TR"/>
          <w14:ligatures w14:val="standardContextual"/>
        </w:rPr>
        <w:id w:val="1734968680"/>
        <w:docPartObj>
          <w:docPartGallery w:val="Table of Contents"/>
          <w:docPartUnique/>
        </w:docPartObj>
      </w:sdtPr>
      <w:sdtEndPr>
        <w:rPr>
          <w:b/>
          <w:bCs/>
          <w:noProof/>
          <w:sz w:val="24"/>
          <w:szCs w:val="24"/>
        </w:rPr>
      </w:sdtEndPr>
      <w:sdtContent>
        <w:p w14:paraId="5D269D58" w14:textId="513D0B5C" w:rsidR="00E91B72" w:rsidRPr="00033569" w:rsidRDefault="00E91B72" w:rsidP="00033569">
          <w:pPr>
            <w:pStyle w:val="TOCHeading"/>
            <w:spacing w:line="360" w:lineRule="auto"/>
            <w:jc w:val="both"/>
            <w:rPr>
              <w:rFonts w:asciiTheme="majorBidi" w:hAnsiTheme="majorBidi"/>
              <w:b/>
              <w:bCs/>
              <w:color w:val="000000" w:themeColor="text1"/>
              <w:sz w:val="24"/>
              <w:szCs w:val="24"/>
              <w:lang w:val="tr-TR"/>
            </w:rPr>
          </w:pPr>
          <w:r w:rsidRPr="00033569">
            <w:rPr>
              <w:rFonts w:asciiTheme="majorBidi" w:hAnsiTheme="majorBidi"/>
              <w:b/>
              <w:bCs/>
              <w:color w:val="000000" w:themeColor="text1"/>
              <w:sz w:val="24"/>
              <w:szCs w:val="24"/>
              <w:lang w:val="tr-TR"/>
            </w:rPr>
            <w:t>İÇİNDEKİLER</w:t>
          </w:r>
        </w:p>
        <w:p w14:paraId="4A8AC304" w14:textId="3DFDDE54" w:rsidR="00033569" w:rsidRPr="00033569" w:rsidRDefault="00E91B72" w:rsidP="00033569">
          <w:pPr>
            <w:pStyle w:val="TOC1"/>
            <w:rPr>
              <w:rFonts w:asciiTheme="majorBidi" w:eastAsiaTheme="minorEastAsia" w:hAnsiTheme="majorBidi" w:cstheme="majorBidi"/>
              <w:noProof/>
              <w:sz w:val="24"/>
              <w:szCs w:val="24"/>
              <w:lang w:val="en-GB" w:eastAsia="en-GB"/>
            </w:rPr>
          </w:pPr>
          <w:r w:rsidRPr="00033569">
            <w:rPr>
              <w:rFonts w:asciiTheme="majorBidi" w:hAnsiTheme="majorBidi" w:cstheme="majorBidi"/>
              <w:sz w:val="24"/>
              <w:szCs w:val="24"/>
            </w:rPr>
            <w:fldChar w:fldCharType="begin"/>
          </w:r>
          <w:r w:rsidRPr="00033569">
            <w:rPr>
              <w:rFonts w:asciiTheme="majorBidi" w:hAnsiTheme="majorBidi" w:cstheme="majorBidi"/>
              <w:sz w:val="24"/>
              <w:szCs w:val="24"/>
            </w:rPr>
            <w:instrText xml:space="preserve"> TOC \o "1-3" \h \z \u </w:instrText>
          </w:r>
          <w:r w:rsidRPr="00033569">
            <w:rPr>
              <w:rFonts w:asciiTheme="majorBidi" w:hAnsiTheme="majorBidi" w:cstheme="majorBidi"/>
              <w:sz w:val="24"/>
              <w:szCs w:val="24"/>
            </w:rPr>
            <w:fldChar w:fldCharType="separate"/>
          </w:r>
          <w:hyperlink w:anchor="_Toc219409240" w:history="1">
            <w:r w:rsidR="00033569" w:rsidRPr="00033569">
              <w:rPr>
                <w:rStyle w:val="Hyperlink"/>
                <w:rFonts w:asciiTheme="majorBidi" w:hAnsiTheme="majorBidi" w:cstheme="majorBidi"/>
                <w:noProof/>
                <w:sz w:val="24"/>
                <w:szCs w:val="24"/>
              </w:rPr>
              <w:t>NURHÂLİS MÂCİD (1939–2005)</w:t>
            </w:r>
            <w:r w:rsidR="00033569" w:rsidRPr="00033569">
              <w:rPr>
                <w:rFonts w:asciiTheme="majorBidi" w:hAnsiTheme="majorBidi" w:cstheme="majorBidi"/>
                <w:noProof/>
                <w:webHidden/>
                <w:sz w:val="24"/>
                <w:szCs w:val="24"/>
              </w:rPr>
              <w:tab/>
            </w:r>
            <w:r w:rsidR="00033569" w:rsidRPr="00033569">
              <w:rPr>
                <w:rFonts w:asciiTheme="majorBidi" w:hAnsiTheme="majorBidi" w:cstheme="majorBidi"/>
                <w:noProof/>
                <w:webHidden/>
                <w:sz w:val="24"/>
                <w:szCs w:val="24"/>
              </w:rPr>
              <w:fldChar w:fldCharType="begin"/>
            </w:r>
            <w:r w:rsidR="00033569" w:rsidRPr="00033569">
              <w:rPr>
                <w:rFonts w:asciiTheme="majorBidi" w:hAnsiTheme="majorBidi" w:cstheme="majorBidi"/>
                <w:noProof/>
                <w:webHidden/>
                <w:sz w:val="24"/>
                <w:szCs w:val="24"/>
              </w:rPr>
              <w:instrText xml:space="preserve"> PAGEREF _Toc219409240 \h </w:instrText>
            </w:r>
            <w:r w:rsidR="00033569" w:rsidRPr="00033569">
              <w:rPr>
                <w:rFonts w:asciiTheme="majorBidi" w:hAnsiTheme="majorBidi" w:cstheme="majorBidi"/>
                <w:noProof/>
                <w:webHidden/>
                <w:sz w:val="24"/>
                <w:szCs w:val="24"/>
              </w:rPr>
            </w:r>
            <w:r w:rsidR="00033569"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2</w:t>
            </w:r>
            <w:r w:rsidR="00033569" w:rsidRPr="00033569">
              <w:rPr>
                <w:rFonts w:asciiTheme="majorBidi" w:hAnsiTheme="majorBidi" w:cstheme="majorBidi"/>
                <w:noProof/>
                <w:webHidden/>
                <w:sz w:val="24"/>
                <w:szCs w:val="24"/>
              </w:rPr>
              <w:fldChar w:fldCharType="end"/>
            </w:r>
          </w:hyperlink>
        </w:p>
        <w:p w14:paraId="48685CCD" w14:textId="52ACEB7C"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1" w:history="1">
            <w:r w:rsidRPr="00033569">
              <w:rPr>
                <w:rStyle w:val="Hyperlink"/>
                <w:rFonts w:asciiTheme="majorBidi" w:hAnsiTheme="majorBidi" w:cstheme="majorBidi"/>
                <w:noProof/>
                <w:sz w:val="24"/>
                <w:szCs w:val="24"/>
              </w:rPr>
              <w:t>Özet</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_Toc219409241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2</w:t>
            </w:r>
            <w:r w:rsidRPr="00033569">
              <w:rPr>
                <w:rFonts w:asciiTheme="majorBidi" w:hAnsiTheme="majorBidi" w:cstheme="majorBidi"/>
                <w:noProof/>
                <w:webHidden/>
                <w:sz w:val="24"/>
                <w:szCs w:val="24"/>
              </w:rPr>
              <w:fldChar w:fldCharType="end"/>
            </w:r>
          </w:hyperlink>
        </w:p>
        <w:p w14:paraId="66BCF0F9" w14:textId="09B27DD0"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2" w:history="1">
            <w:r w:rsidRPr="00033569">
              <w:rPr>
                <w:rStyle w:val="Hyperlink"/>
                <w:rFonts w:asciiTheme="majorBidi" w:hAnsiTheme="majorBidi" w:cstheme="majorBidi"/>
                <w:noProof/>
                <w:sz w:val="24"/>
                <w:szCs w:val="24"/>
              </w:rPr>
              <w:t>Abstract</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_Toc219409242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2</w:t>
            </w:r>
            <w:r w:rsidRPr="00033569">
              <w:rPr>
                <w:rFonts w:asciiTheme="majorBidi" w:hAnsiTheme="majorBidi" w:cstheme="majorBidi"/>
                <w:noProof/>
                <w:webHidden/>
                <w:sz w:val="24"/>
                <w:szCs w:val="24"/>
              </w:rPr>
              <w:fldChar w:fldCharType="end"/>
            </w:r>
          </w:hyperlink>
        </w:p>
        <w:p w14:paraId="79756BC0" w14:textId="212F9435"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3" w:history="1">
            <w:r w:rsidRPr="00033569">
              <w:rPr>
                <w:rStyle w:val="Hyperlink"/>
                <w:rFonts w:asciiTheme="majorBidi" w:hAnsiTheme="majorBidi" w:cstheme="majorBidi"/>
                <w:noProof/>
                <w:sz w:val="24"/>
                <w:szCs w:val="24"/>
              </w:rPr>
              <w:t>Giriş</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_Toc219409243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4</w:t>
            </w:r>
            <w:r w:rsidRPr="00033569">
              <w:rPr>
                <w:rFonts w:asciiTheme="majorBidi" w:hAnsiTheme="majorBidi" w:cstheme="majorBidi"/>
                <w:noProof/>
                <w:webHidden/>
                <w:sz w:val="24"/>
                <w:szCs w:val="24"/>
              </w:rPr>
              <w:fldChar w:fldCharType="end"/>
            </w:r>
          </w:hyperlink>
        </w:p>
        <w:p w14:paraId="28B3A926" w14:textId="1E88499F"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4" w:history="1">
            <w:r w:rsidRPr="00033569">
              <w:rPr>
                <w:rStyle w:val="Hyperlink"/>
                <w:rFonts w:asciiTheme="majorBidi" w:hAnsiTheme="majorBidi" w:cstheme="majorBidi"/>
                <w:noProof/>
                <w:sz w:val="24"/>
                <w:szCs w:val="24"/>
              </w:rPr>
              <w:t>Hayat ve Eğitim</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_Toc219409244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4</w:t>
            </w:r>
            <w:r w:rsidRPr="00033569">
              <w:rPr>
                <w:rFonts w:asciiTheme="majorBidi" w:hAnsiTheme="majorBidi" w:cstheme="majorBidi"/>
                <w:noProof/>
                <w:webHidden/>
                <w:sz w:val="24"/>
                <w:szCs w:val="24"/>
              </w:rPr>
              <w:fldChar w:fldCharType="end"/>
            </w:r>
          </w:hyperlink>
        </w:p>
        <w:p w14:paraId="0F6CEF26" w14:textId="7578A1B8"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5" w:history="1">
            <w:r w:rsidRPr="00033569">
              <w:rPr>
                <w:rStyle w:val="Hyperlink"/>
                <w:rFonts w:asciiTheme="majorBidi" w:hAnsiTheme="majorBidi" w:cstheme="majorBidi"/>
                <w:noProof/>
                <w:sz w:val="24"/>
                <w:szCs w:val="24"/>
              </w:rPr>
              <w:t>Fazlur Rahman’ın Nurhâlis Mâcid Üzerindeki Etkisi</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_Toc219409245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7</w:t>
            </w:r>
            <w:r w:rsidRPr="00033569">
              <w:rPr>
                <w:rFonts w:asciiTheme="majorBidi" w:hAnsiTheme="majorBidi" w:cstheme="majorBidi"/>
                <w:noProof/>
                <w:webHidden/>
                <w:sz w:val="24"/>
                <w:szCs w:val="24"/>
              </w:rPr>
              <w:fldChar w:fldCharType="end"/>
            </w:r>
          </w:hyperlink>
        </w:p>
        <w:p w14:paraId="611F3E33" w14:textId="685F6C09"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6" w:history="1">
            <w:r w:rsidRPr="00033569">
              <w:rPr>
                <w:rStyle w:val="Hyperlink"/>
                <w:rFonts w:asciiTheme="majorBidi" w:hAnsiTheme="majorBidi" w:cstheme="majorBidi"/>
                <w:noProof/>
                <w:sz w:val="24"/>
                <w:szCs w:val="24"/>
              </w:rPr>
              <w:t>Çoğulculuk Teorisi</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_Toc219409246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8</w:t>
            </w:r>
            <w:r w:rsidRPr="00033569">
              <w:rPr>
                <w:rFonts w:asciiTheme="majorBidi" w:hAnsiTheme="majorBidi" w:cstheme="majorBidi"/>
                <w:noProof/>
                <w:webHidden/>
                <w:sz w:val="24"/>
                <w:szCs w:val="24"/>
              </w:rPr>
              <w:fldChar w:fldCharType="end"/>
            </w:r>
          </w:hyperlink>
        </w:p>
        <w:p w14:paraId="06A2099D" w14:textId="070B58F9"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7" w:history="1">
            <w:r w:rsidRPr="00033569">
              <w:rPr>
                <w:rStyle w:val="Hyperlink"/>
                <w:rFonts w:asciiTheme="majorBidi" w:hAnsiTheme="majorBidi" w:cstheme="majorBidi"/>
                <w:noProof/>
                <w:sz w:val="24"/>
                <w:szCs w:val="24"/>
              </w:rPr>
              <w:t>1. Teolojik-Ontolojik Yaklaşım (Tevhid)</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_Toc219409247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9</w:t>
            </w:r>
            <w:r w:rsidRPr="00033569">
              <w:rPr>
                <w:rFonts w:asciiTheme="majorBidi" w:hAnsiTheme="majorBidi" w:cstheme="majorBidi"/>
                <w:noProof/>
                <w:webHidden/>
                <w:sz w:val="24"/>
                <w:szCs w:val="24"/>
              </w:rPr>
              <w:fldChar w:fldCharType="end"/>
            </w:r>
          </w:hyperlink>
        </w:p>
        <w:p w14:paraId="115792C5" w14:textId="79ADA5FC"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8" w:history="1">
            <w:r w:rsidRPr="00033569">
              <w:rPr>
                <w:rStyle w:val="Hyperlink"/>
                <w:rFonts w:asciiTheme="majorBidi" w:hAnsiTheme="majorBidi" w:cstheme="majorBidi"/>
                <w:noProof/>
                <w:sz w:val="24"/>
                <w:szCs w:val="24"/>
              </w:rPr>
              <w:t>2. Filolojik-Semantik Yaklaşım (Evrensel Teslimiyet)</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_Toc219409248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10</w:t>
            </w:r>
            <w:r w:rsidRPr="00033569">
              <w:rPr>
                <w:rFonts w:asciiTheme="majorBidi" w:hAnsiTheme="majorBidi" w:cstheme="majorBidi"/>
                <w:noProof/>
                <w:webHidden/>
                <w:sz w:val="24"/>
                <w:szCs w:val="24"/>
              </w:rPr>
              <w:fldChar w:fldCharType="end"/>
            </w:r>
          </w:hyperlink>
        </w:p>
        <w:p w14:paraId="67A65506" w14:textId="5969C177"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49" w:history="1">
            <w:r w:rsidRPr="00033569">
              <w:rPr>
                <w:rStyle w:val="Hyperlink"/>
                <w:rFonts w:asciiTheme="majorBidi" w:hAnsiTheme="majorBidi" w:cstheme="majorBidi"/>
                <w:noProof/>
                <w:sz w:val="24"/>
                <w:szCs w:val="24"/>
              </w:rPr>
              <w:t>3. Sosyo-Tarihsel Yaklaşım (Medine Paradigması)</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_Toc219409249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11</w:t>
            </w:r>
            <w:r w:rsidRPr="00033569">
              <w:rPr>
                <w:rFonts w:asciiTheme="majorBidi" w:hAnsiTheme="majorBidi" w:cstheme="majorBidi"/>
                <w:noProof/>
                <w:webHidden/>
                <w:sz w:val="24"/>
                <w:szCs w:val="24"/>
              </w:rPr>
              <w:fldChar w:fldCharType="end"/>
            </w:r>
          </w:hyperlink>
        </w:p>
        <w:p w14:paraId="7318AFA0" w14:textId="48B4CBB8"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0" w:history="1">
            <w:r w:rsidRPr="00033569">
              <w:rPr>
                <w:rStyle w:val="Hyperlink"/>
                <w:rFonts w:asciiTheme="majorBidi" w:hAnsiTheme="majorBidi" w:cstheme="majorBidi"/>
                <w:noProof/>
                <w:sz w:val="24"/>
                <w:szCs w:val="24"/>
              </w:rPr>
              <w:t>Sekülarizasyon, Desakralizasyon ve Mâcid’in Entegrasyon Sistemi</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_Toc219409250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11</w:t>
            </w:r>
            <w:r w:rsidRPr="00033569">
              <w:rPr>
                <w:rFonts w:asciiTheme="majorBidi" w:hAnsiTheme="majorBidi" w:cstheme="majorBidi"/>
                <w:noProof/>
                <w:webHidden/>
                <w:sz w:val="24"/>
                <w:szCs w:val="24"/>
              </w:rPr>
              <w:fldChar w:fldCharType="end"/>
            </w:r>
          </w:hyperlink>
        </w:p>
        <w:p w14:paraId="15169546" w14:textId="00D865E9"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1" w:history="1">
            <w:r w:rsidRPr="00033569">
              <w:rPr>
                <w:rStyle w:val="Hyperlink"/>
                <w:rFonts w:asciiTheme="majorBidi" w:hAnsiTheme="majorBidi" w:cstheme="majorBidi"/>
                <w:noProof/>
                <w:sz w:val="24"/>
                <w:szCs w:val="24"/>
              </w:rPr>
              <w:t>Sekülarizasyon</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_Toc219409251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12</w:t>
            </w:r>
            <w:r w:rsidRPr="00033569">
              <w:rPr>
                <w:rFonts w:asciiTheme="majorBidi" w:hAnsiTheme="majorBidi" w:cstheme="majorBidi"/>
                <w:noProof/>
                <w:webHidden/>
                <w:sz w:val="24"/>
                <w:szCs w:val="24"/>
              </w:rPr>
              <w:fldChar w:fldCharType="end"/>
            </w:r>
          </w:hyperlink>
        </w:p>
        <w:p w14:paraId="1E69538E" w14:textId="5327D6FF"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2" w:history="1">
            <w:r w:rsidRPr="00033569">
              <w:rPr>
                <w:rStyle w:val="Hyperlink"/>
                <w:rFonts w:asciiTheme="majorBidi" w:hAnsiTheme="majorBidi" w:cstheme="majorBidi"/>
                <w:noProof/>
                <w:sz w:val="24"/>
                <w:szCs w:val="24"/>
              </w:rPr>
              <w:t>Desakralizasyon</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_Toc219409252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12</w:t>
            </w:r>
            <w:r w:rsidRPr="00033569">
              <w:rPr>
                <w:rFonts w:asciiTheme="majorBidi" w:hAnsiTheme="majorBidi" w:cstheme="majorBidi"/>
                <w:noProof/>
                <w:webHidden/>
                <w:sz w:val="24"/>
                <w:szCs w:val="24"/>
              </w:rPr>
              <w:fldChar w:fldCharType="end"/>
            </w:r>
          </w:hyperlink>
        </w:p>
        <w:p w14:paraId="49B7401C" w14:textId="6F1B96D6"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3" w:history="1">
            <w:r w:rsidRPr="00033569">
              <w:rPr>
                <w:rStyle w:val="Hyperlink"/>
                <w:rFonts w:asciiTheme="majorBidi" w:hAnsiTheme="majorBidi" w:cstheme="majorBidi"/>
                <w:noProof/>
                <w:sz w:val="24"/>
                <w:szCs w:val="24"/>
              </w:rPr>
              <w:t>Entegrasyon Sistemi</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_Toc219409253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13</w:t>
            </w:r>
            <w:r w:rsidRPr="00033569">
              <w:rPr>
                <w:rFonts w:asciiTheme="majorBidi" w:hAnsiTheme="majorBidi" w:cstheme="majorBidi"/>
                <w:noProof/>
                <w:webHidden/>
                <w:sz w:val="24"/>
                <w:szCs w:val="24"/>
              </w:rPr>
              <w:fldChar w:fldCharType="end"/>
            </w:r>
          </w:hyperlink>
        </w:p>
        <w:p w14:paraId="16233DA1" w14:textId="2B9A7569"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4" w:history="1">
            <w:r w:rsidRPr="00033569">
              <w:rPr>
                <w:rStyle w:val="Hyperlink"/>
                <w:rFonts w:asciiTheme="majorBidi" w:hAnsiTheme="majorBidi" w:cstheme="majorBidi"/>
                <w:noProof/>
                <w:sz w:val="24"/>
                <w:szCs w:val="24"/>
              </w:rPr>
              <w:t>Pancasila ve Kelimetün Sava’</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_Toc219409254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14</w:t>
            </w:r>
            <w:r w:rsidRPr="00033569">
              <w:rPr>
                <w:rFonts w:asciiTheme="majorBidi" w:hAnsiTheme="majorBidi" w:cstheme="majorBidi"/>
                <w:noProof/>
                <w:webHidden/>
                <w:sz w:val="24"/>
                <w:szCs w:val="24"/>
              </w:rPr>
              <w:fldChar w:fldCharType="end"/>
            </w:r>
          </w:hyperlink>
        </w:p>
        <w:p w14:paraId="60FFF997" w14:textId="3E8B1F10"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5" w:history="1">
            <w:r w:rsidRPr="00033569">
              <w:rPr>
                <w:rStyle w:val="Hyperlink"/>
                <w:rFonts w:asciiTheme="majorBidi" w:hAnsiTheme="majorBidi" w:cstheme="majorBidi"/>
                <w:noProof/>
                <w:sz w:val="24"/>
                <w:szCs w:val="24"/>
              </w:rPr>
              <w:t>Mâcid’in fıkıh anlayışı</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_Toc219409255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16</w:t>
            </w:r>
            <w:r w:rsidRPr="00033569">
              <w:rPr>
                <w:rFonts w:asciiTheme="majorBidi" w:hAnsiTheme="majorBidi" w:cstheme="majorBidi"/>
                <w:noProof/>
                <w:webHidden/>
                <w:sz w:val="24"/>
                <w:szCs w:val="24"/>
              </w:rPr>
              <w:fldChar w:fldCharType="end"/>
            </w:r>
          </w:hyperlink>
        </w:p>
        <w:p w14:paraId="57170739" w14:textId="21BB59C9" w:rsidR="00033569" w:rsidRPr="00033569" w:rsidRDefault="00033569" w:rsidP="00033569">
          <w:pPr>
            <w:pStyle w:val="TOC3"/>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6" w:history="1">
            <w:r w:rsidRPr="00033569">
              <w:rPr>
                <w:rStyle w:val="Hyperlink"/>
                <w:rFonts w:asciiTheme="majorBidi" w:hAnsiTheme="majorBidi" w:cstheme="majorBidi"/>
                <w:noProof/>
                <w:sz w:val="24"/>
                <w:szCs w:val="24"/>
              </w:rPr>
              <w:t>Pratik Hayatta Uygulamalar ve Örnekler</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_Toc219409256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16</w:t>
            </w:r>
            <w:r w:rsidRPr="00033569">
              <w:rPr>
                <w:rFonts w:asciiTheme="majorBidi" w:hAnsiTheme="majorBidi" w:cstheme="majorBidi"/>
                <w:noProof/>
                <w:webHidden/>
                <w:sz w:val="24"/>
                <w:szCs w:val="24"/>
              </w:rPr>
              <w:fldChar w:fldCharType="end"/>
            </w:r>
          </w:hyperlink>
        </w:p>
        <w:p w14:paraId="297CE8BB" w14:textId="0CFD92E4"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7" w:history="1">
            <w:r w:rsidRPr="00033569">
              <w:rPr>
                <w:rStyle w:val="Hyperlink"/>
                <w:rFonts w:asciiTheme="majorBidi" w:hAnsiTheme="majorBidi" w:cstheme="majorBidi"/>
                <w:noProof/>
                <w:sz w:val="24"/>
                <w:szCs w:val="24"/>
              </w:rPr>
              <w:t>Eleştiriler ve Tartışmalar</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_Toc219409257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18</w:t>
            </w:r>
            <w:r w:rsidRPr="00033569">
              <w:rPr>
                <w:rFonts w:asciiTheme="majorBidi" w:hAnsiTheme="majorBidi" w:cstheme="majorBidi"/>
                <w:noProof/>
                <w:webHidden/>
                <w:sz w:val="24"/>
                <w:szCs w:val="24"/>
              </w:rPr>
              <w:fldChar w:fldCharType="end"/>
            </w:r>
          </w:hyperlink>
        </w:p>
        <w:p w14:paraId="37F90B4D" w14:textId="48F72759"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8" w:history="1">
            <w:r w:rsidRPr="00033569">
              <w:rPr>
                <w:rStyle w:val="Hyperlink"/>
                <w:rFonts w:asciiTheme="majorBidi" w:hAnsiTheme="majorBidi" w:cstheme="majorBidi"/>
                <w:noProof/>
                <w:sz w:val="24"/>
                <w:szCs w:val="24"/>
              </w:rPr>
              <w:t>Sonuç</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_Toc219409258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19</w:t>
            </w:r>
            <w:r w:rsidRPr="00033569">
              <w:rPr>
                <w:rFonts w:asciiTheme="majorBidi" w:hAnsiTheme="majorBidi" w:cstheme="majorBidi"/>
                <w:noProof/>
                <w:webHidden/>
                <w:sz w:val="24"/>
                <w:szCs w:val="24"/>
              </w:rPr>
              <w:fldChar w:fldCharType="end"/>
            </w:r>
          </w:hyperlink>
        </w:p>
        <w:p w14:paraId="683359BE" w14:textId="32BA6B35" w:rsidR="00033569" w:rsidRPr="00033569" w:rsidRDefault="00033569" w:rsidP="00033569">
          <w:pPr>
            <w:pStyle w:val="TOC2"/>
            <w:tabs>
              <w:tab w:val="right" w:leader="dot" w:pos="9350"/>
            </w:tabs>
            <w:spacing w:line="360" w:lineRule="auto"/>
            <w:rPr>
              <w:rFonts w:asciiTheme="majorBidi" w:eastAsiaTheme="minorEastAsia" w:hAnsiTheme="majorBidi" w:cstheme="majorBidi"/>
              <w:noProof/>
              <w:sz w:val="24"/>
              <w:szCs w:val="24"/>
              <w:lang w:val="en-GB" w:eastAsia="en-GB"/>
            </w:rPr>
          </w:pPr>
          <w:hyperlink w:anchor="_Toc219409259" w:history="1">
            <w:r w:rsidRPr="00033569">
              <w:rPr>
                <w:rStyle w:val="Hyperlink"/>
                <w:rFonts w:asciiTheme="majorBidi" w:hAnsiTheme="majorBidi" w:cstheme="majorBidi"/>
                <w:noProof/>
                <w:sz w:val="24"/>
                <w:szCs w:val="24"/>
              </w:rPr>
              <w:t>Kaynakça</w:t>
            </w:r>
            <w:r w:rsidRPr="00033569">
              <w:rPr>
                <w:rFonts w:asciiTheme="majorBidi" w:hAnsiTheme="majorBidi" w:cstheme="majorBidi"/>
                <w:noProof/>
                <w:webHidden/>
                <w:sz w:val="24"/>
                <w:szCs w:val="24"/>
              </w:rPr>
              <w:tab/>
            </w:r>
            <w:r w:rsidRPr="00033569">
              <w:rPr>
                <w:rFonts w:asciiTheme="majorBidi" w:hAnsiTheme="majorBidi" w:cstheme="majorBidi"/>
                <w:noProof/>
                <w:webHidden/>
                <w:sz w:val="24"/>
                <w:szCs w:val="24"/>
              </w:rPr>
              <w:fldChar w:fldCharType="begin"/>
            </w:r>
            <w:r w:rsidRPr="00033569">
              <w:rPr>
                <w:rFonts w:asciiTheme="majorBidi" w:hAnsiTheme="majorBidi" w:cstheme="majorBidi"/>
                <w:noProof/>
                <w:webHidden/>
                <w:sz w:val="24"/>
                <w:szCs w:val="24"/>
              </w:rPr>
              <w:instrText xml:space="preserve"> PAGEREF _Toc219409259 \h </w:instrText>
            </w:r>
            <w:r w:rsidRPr="00033569">
              <w:rPr>
                <w:rFonts w:asciiTheme="majorBidi" w:hAnsiTheme="majorBidi" w:cstheme="majorBidi"/>
                <w:noProof/>
                <w:webHidden/>
                <w:sz w:val="24"/>
                <w:szCs w:val="24"/>
              </w:rPr>
            </w:r>
            <w:r w:rsidRPr="00033569">
              <w:rPr>
                <w:rFonts w:asciiTheme="majorBidi" w:hAnsiTheme="majorBidi" w:cstheme="majorBidi"/>
                <w:noProof/>
                <w:webHidden/>
                <w:sz w:val="24"/>
                <w:szCs w:val="24"/>
              </w:rPr>
              <w:fldChar w:fldCharType="separate"/>
            </w:r>
            <w:r w:rsidR="0028082D">
              <w:rPr>
                <w:rFonts w:asciiTheme="majorBidi" w:hAnsiTheme="majorBidi" w:cstheme="majorBidi"/>
                <w:noProof/>
                <w:webHidden/>
                <w:sz w:val="24"/>
                <w:szCs w:val="24"/>
              </w:rPr>
              <w:t>21</w:t>
            </w:r>
            <w:r w:rsidRPr="00033569">
              <w:rPr>
                <w:rFonts w:asciiTheme="majorBidi" w:hAnsiTheme="majorBidi" w:cstheme="majorBidi"/>
                <w:noProof/>
                <w:webHidden/>
                <w:sz w:val="24"/>
                <w:szCs w:val="24"/>
              </w:rPr>
              <w:fldChar w:fldCharType="end"/>
            </w:r>
          </w:hyperlink>
        </w:p>
        <w:p w14:paraId="2D6F2FCE" w14:textId="1506C6E3" w:rsidR="00E91B72" w:rsidRPr="00D212EE" w:rsidRDefault="00E91B72" w:rsidP="00033569">
          <w:pPr>
            <w:spacing w:line="360" w:lineRule="auto"/>
            <w:jc w:val="both"/>
            <w:rPr>
              <w:rFonts w:asciiTheme="majorBidi" w:hAnsiTheme="majorBidi" w:cstheme="majorBidi"/>
              <w:sz w:val="24"/>
              <w:szCs w:val="24"/>
            </w:rPr>
          </w:pPr>
          <w:r w:rsidRPr="00033569">
            <w:rPr>
              <w:rFonts w:asciiTheme="majorBidi" w:hAnsiTheme="majorBidi" w:cstheme="majorBidi"/>
              <w:b/>
              <w:bCs/>
              <w:noProof/>
              <w:sz w:val="24"/>
              <w:szCs w:val="24"/>
            </w:rPr>
            <w:fldChar w:fldCharType="end"/>
          </w:r>
        </w:p>
      </w:sdtContent>
    </w:sdt>
    <w:p w14:paraId="10F6096E" w14:textId="55511C5B" w:rsidR="00EB7051" w:rsidRPr="00D212EE" w:rsidRDefault="00EB7051" w:rsidP="00FE6A96">
      <w:pPr>
        <w:pStyle w:val="Heading2"/>
        <w:spacing w:line="360" w:lineRule="auto"/>
        <w:jc w:val="both"/>
      </w:pPr>
      <w:bookmarkStart w:id="5" w:name="_Toc219409243"/>
      <w:r w:rsidRPr="00D212EE">
        <w:lastRenderedPageBreak/>
        <w:t>Giriş</w:t>
      </w:r>
      <w:bookmarkEnd w:id="5"/>
      <w:r w:rsidRPr="00D212EE">
        <w:t xml:space="preserve"> </w:t>
      </w:r>
    </w:p>
    <w:p w14:paraId="29DC9BDB" w14:textId="6E8817DB" w:rsidR="00EB7051"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Nurhâlis</w:t>
      </w:r>
      <w:proofErr w:type="spellEnd"/>
      <w:r w:rsidR="00EB7051"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proofErr w:type="spellEnd"/>
      <w:r w:rsidR="00EB7051" w:rsidRPr="00D212EE">
        <w:rPr>
          <w:rFonts w:asciiTheme="majorBidi" w:hAnsiTheme="majorBidi" w:cstheme="majorBidi"/>
          <w:sz w:val="24"/>
          <w:szCs w:val="24"/>
        </w:rPr>
        <w:t xml:space="preserve"> (1939–2005), </w:t>
      </w:r>
      <w:r w:rsidR="00FE6A96">
        <w:rPr>
          <w:rFonts w:asciiTheme="majorBidi" w:hAnsiTheme="majorBidi" w:cstheme="majorBidi"/>
          <w:sz w:val="24"/>
          <w:szCs w:val="24"/>
        </w:rPr>
        <w:t>“</w:t>
      </w:r>
      <w:proofErr w:type="spellStart"/>
      <w:r w:rsidR="00EB7051" w:rsidRPr="00D212EE">
        <w:rPr>
          <w:rFonts w:asciiTheme="majorBidi" w:hAnsiTheme="majorBidi" w:cstheme="majorBidi"/>
          <w:sz w:val="24"/>
          <w:szCs w:val="24"/>
        </w:rPr>
        <w:t>Cak</w:t>
      </w:r>
      <w:proofErr w:type="spellEnd"/>
      <w:r w:rsidR="00EB7051" w:rsidRPr="00D212EE">
        <w:rPr>
          <w:rFonts w:asciiTheme="majorBidi" w:hAnsiTheme="majorBidi" w:cstheme="majorBidi"/>
          <w:sz w:val="24"/>
          <w:szCs w:val="24"/>
        </w:rPr>
        <w:t xml:space="preserve"> Nur</w:t>
      </w:r>
      <w:r w:rsidR="00FE6A96">
        <w:rPr>
          <w:rFonts w:asciiTheme="majorBidi" w:hAnsiTheme="majorBidi" w:cstheme="majorBidi"/>
          <w:sz w:val="24"/>
          <w:szCs w:val="24"/>
        </w:rPr>
        <w:t>”</w:t>
      </w:r>
      <w:r w:rsidR="00EB7051" w:rsidRPr="00D212EE">
        <w:rPr>
          <w:rFonts w:asciiTheme="majorBidi" w:hAnsiTheme="majorBidi" w:cstheme="majorBidi"/>
          <w:sz w:val="24"/>
          <w:szCs w:val="24"/>
        </w:rPr>
        <w:t xml:space="preserve"> </w:t>
      </w:r>
      <w:r w:rsidR="00567967" w:rsidRPr="00D212EE">
        <w:rPr>
          <w:rFonts w:asciiTheme="majorBidi" w:hAnsiTheme="majorBidi" w:cstheme="majorBidi"/>
          <w:sz w:val="24"/>
          <w:szCs w:val="24"/>
        </w:rPr>
        <w:t>olarak da</w:t>
      </w:r>
      <w:r w:rsidR="00EB7051" w:rsidRPr="00D212EE">
        <w:rPr>
          <w:rFonts w:asciiTheme="majorBidi" w:hAnsiTheme="majorBidi" w:cstheme="majorBidi"/>
          <w:sz w:val="24"/>
          <w:szCs w:val="24"/>
        </w:rPr>
        <w:t xml:space="preserve"> bilinen, geleneksel İslami ilimler ile modern ulus-devlet yapısının gerekleri arasındaki ontolojik uçurumu kapatmayı amaçlayan Endonezya </w:t>
      </w:r>
      <w:proofErr w:type="spellStart"/>
      <w:r w:rsidR="00EB7051" w:rsidRPr="00D212EE">
        <w:rPr>
          <w:rFonts w:asciiTheme="majorBidi" w:hAnsiTheme="majorBidi" w:cstheme="majorBidi"/>
          <w:sz w:val="24"/>
          <w:szCs w:val="24"/>
        </w:rPr>
        <w:t>neo</w:t>
      </w:r>
      <w:proofErr w:type="spellEnd"/>
      <w:r w:rsidR="00EB7051" w:rsidRPr="00D212EE">
        <w:rPr>
          <w:rFonts w:asciiTheme="majorBidi" w:hAnsiTheme="majorBidi" w:cstheme="majorBidi"/>
          <w:sz w:val="24"/>
          <w:szCs w:val="24"/>
        </w:rPr>
        <w:t xml:space="preserve">-modernizminin entelektüel öncüsü olarak kabul edilir. </w:t>
      </w:r>
      <w:proofErr w:type="spellStart"/>
      <w:r w:rsidR="00EB7051" w:rsidRPr="00D212EE">
        <w:rPr>
          <w:rFonts w:asciiTheme="majorBidi" w:hAnsiTheme="majorBidi" w:cstheme="majorBidi"/>
          <w:sz w:val="24"/>
          <w:szCs w:val="24"/>
        </w:rPr>
        <w:t>Nehdatü’l-Ulemâ</w:t>
      </w:r>
      <w:proofErr w:type="spellEnd"/>
      <w:r w:rsidR="0003170A">
        <w:rPr>
          <w:rStyle w:val="FootnoteReference"/>
          <w:rFonts w:asciiTheme="majorBidi" w:hAnsiTheme="majorBidi" w:cstheme="majorBidi"/>
          <w:sz w:val="24"/>
          <w:szCs w:val="24"/>
        </w:rPr>
        <w:footnoteReference w:id="1"/>
      </w:r>
      <w:r w:rsidR="00EB7051" w:rsidRPr="00D212EE">
        <w:rPr>
          <w:rFonts w:asciiTheme="majorBidi" w:hAnsiTheme="majorBidi" w:cstheme="majorBidi"/>
          <w:sz w:val="24"/>
          <w:szCs w:val="24"/>
        </w:rPr>
        <w:t xml:space="preserve"> ve </w:t>
      </w:r>
      <w:proofErr w:type="spellStart"/>
      <w:r w:rsidR="00EB7051" w:rsidRPr="00D212EE">
        <w:rPr>
          <w:rFonts w:asciiTheme="majorBidi" w:hAnsiTheme="majorBidi" w:cstheme="majorBidi"/>
          <w:sz w:val="24"/>
          <w:szCs w:val="24"/>
        </w:rPr>
        <w:t>Masyumi</w:t>
      </w:r>
      <w:proofErr w:type="spellEnd"/>
      <w:r w:rsidR="00741410">
        <w:rPr>
          <w:rStyle w:val="FootnoteReference"/>
          <w:rFonts w:asciiTheme="majorBidi" w:hAnsiTheme="majorBidi" w:cstheme="majorBidi"/>
          <w:sz w:val="24"/>
          <w:szCs w:val="24"/>
        </w:rPr>
        <w:footnoteReference w:id="2"/>
      </w:r>
      <w:r w:rsidR="00EB7051" w:rsidRPr="00D212EE">
        <w:rPr>
          <w:rFonts w:asciiTheme="majorBidi" w:hAnsiTheme="majorBidi" w:cstheme="majorBidi"/>
          <w:sz w:val="24"/>
          <w:szCs w:val="24"/>
        </w:rPr>
        <w:t xml:space="preserve"> geleneklerine dayanan bir ailede doğan </w:t>
      </w:r>
      <w:proofErr w:type="spellStart"/>
      <w:r w:rsidRPr="00D212EE">
        <w:rPr>
          <w:rFonts w:asciiTheme="majorBidi" w:hAnsiTheme="majorBidi" w:cstheme="majorBidi"/>
          <w:sz w:val="24"/>
          <w:szCs w:val="24"/>
        </w:rPr>
        <w:t>Mâcid</w:t>
      </w:r>
      <w:r w:rsidR="00EB7051" w:rsidRPr="00D212EE">
        <w:rPr>
          <w:rFonts w:asciiTheme="majorBidi" w:hAnsiTheme="majorBidi" w:cstheme="majorBidi"/>
          <w:sz w:val="24"/>
          <w:szCs w:val="24"/>
        </w:rPr>
        <w:t>’in</w:t>
      </w:r>
      <w:proofErr w:type="spellEnd"/>
      <w:r w:rsidR="00EB7051" w:rsidRPr="00D212EE">
        <w:rPr>
          <w:rFonts w:asciiTheme="majorBidi" w:hAnsiTheme="majorBidi" w:cstheme="majorBidi"/>
          <w:sz w:val="24"/>
          <w:szCs w:val="24"/>
        </w:rPr>
        <w:t xml:space="preserve"> </w:t>
      </w:r>
      <w:proofErr w:type="spellStart"/>
      <w:r w:rsidR="00EB7051" w:rsidRPr="00D212EE">
        <w:rPr>
          <w:rFonts w:asciiTheme="majorBidi" w:hAnsiTheme="majorBidi" w:cstheme="majorBidi"/>
          <w:sz w:val="24"/>
          <w:szCs w:val="24"/>
        </w:rPr>
        <w:t>Gontor</w:t>
      </w:r>
      <w:proofErr w:type="spellEnd"/>
      <w:r w:rsidR="00EB7051" w:rsidRPr="00D212EE">
        <w:rPr>
          <w:rFonts w:asciiTheme="majorBidi" w:hAnsiTheme="majorBidi" w:cstheme="majorBidi"/>
          <w:sz w:val="24"/>
          <w:szCs w:val="24"/>
        </w:rPr>
        <w:t xml:space="preserve"> Modern </w:t>
      </w:r>
      <w:proofErr w:type="spellStart"/>
      <w:r w:rsidR="00EB7051" w:rsidRPr="00D212EE">
        <w:rPr>
          <w:rFonts w:asciiTheme="majorBidi" w:hAnsiTheme="majorBidi" w:cstheme="majorBidi"/>
          <w:sz w:val="24"/>
          <w:szCs w:val="24"/>
        </w:rPr>
        <w:t>Pesantren’deki</w:t>
      </w:r>
      <w:proofErr w:type="spellEnd"/>
      <w:r w:rsidR="00EB7051" w:rsidRPr="00D212EE">
        <w:rPr>
          <w:rFonts w:asciiTheme="majorBidi" w:hAnsiTheme="majorBidi" w:cstheme="majorBidi"/>
          <w:sz w:val="24"/>
          <w:szCs w:val="24"/>
        </w:rPr>
        <w:t xml:space="preserve"> eğitimi, rasyonel sorgulamayı manevi bağlılıkla bütünleştiren eklektik bir dünya görüşünün temelini atmıştır. Chicago Üniversitesi’nde </w:t>
      </w:r>
      <w:proofErr w:type="spellStart"/>
      <w:r w:rsidR="00EB7051" w:rsidRPr="00D212EE">
        <w:rPr>
          <w:rFonts w:asciiTheme="majorBidi" w:hAnsiTheme="majorBidi" w:cstheme="majorBidi"/>
          <w:sz w:val="24"/>
          <w:szCs w:val="24"/>
        </w:rPr>
        <w:t>Fazlur</w:t>
      </w:r>
      <w:proofErr w:type="spellEnd"/>
      <w:r w:rsidR="00EB7051" w:rsidRPr="00D212EE">
        <w:rPr>
          <w:rFonts w:asciiTheme="majorBidi" w:hAnsiTheme="majorBidi" w:cstheme="majorBidi"/>
          <w:sz w:val="24"/>
          <w:szCs w:val="24"/>
        </w:rPr>
        <w:t xml:space="preserve"> Rahman ile yolları kesiştiğinde, İslam’ın tarihsel tezahürlerini evrensel ahlaki özü üzerinden sorgulayan bir </w:t>
      </w:r>
      <w:r w:rsidR="00FE6A96">
        <w:rPr>
          <w:rFonts w:asciiTheme="majorBidi" w:hAnsiTheme="majorBidi" w:cstheme="majorBidi"/>
          <w:sz w:val="24"/>
          <w:szCs w:val="24"/>
        </w:rPr>
        <w:t>“</w:t>
      </w:r>
      <w:r w:rsidR="00EB7051" w:rsidRPr="00D212EE">
        <w:rPr>
          <w:rFonts w:asciiTheme="majorBidi" w:hAnsiTheme="majorBidi" w:cstheme="majorBidi"/>
          <w:sz w:val="24"/>
          <w:szCs w:val="24"/>
        </w:rPr>
        <w:t xml:space="preserve">Derinlik </w:t>
      </w:r>
      <w:proofErr w:type="spellStart"/>
      <w:r w:rsidR="00EB7051" w:rsidRPr="00D212EE">
        <w:rPr>
          <w:rFonts w:asciiTheme="majorBidi" w:hAnsiTheme="majorBidi" w:cstheme="majorBidi"/>
          <w:sz w:val="24"/>
          <w:szCs w:val="24"/>
        </w:rPr>
        <w:t>İlahiyatı</w:t>
      </w:r>
      <w:r w:rsidR="00FE6A96">
        <w:rPr>
          <w:rFonts w:asciiTheme="majorBidi" w:hAnsiTheme="majorBidi" w:cstheme="majorBidi"/>
          <w:sz w:val="24"/>
          <w:szCs w:val="24"/>
        </w:rPr>
        <w:t>”</w:t>
      </w:r>
      <w:r w:rsidR="00EB7051" w:rsidRPr="00D212EE">
        <w:rPr>
          <w:rFonts w:asciiTheme="majorBidi" w:hAnsiTheme="majorBidi" w:cstheme="majorBidi"/>
          <w:sz w:val="24"/>
          <w:szCs w:val="24"/>
        </w:rPr>
        <w:t>na</w:t>
      </w:r>
      <w:proofErr w:type="spellEnd"/>
      <w:r w:rsidR="00EB7051" w:rsidRPr="00D212EE">
        <w:rPr>
          <w:rFonts w:asciiTheme="majorBidi" w:hAnsiTheme="majorBidi" w:cstheme="majorBidi"/>
          <w:sz w:val="24"/>
          <w:szCs w:val="24"/>
        </w:rPr>
        <w:t xml:space="preserve"> doğru radikal bir </w:t>
      </w:r>
      <w:r w:rsidR="00FE6A96" w:rsidRPr="00D212EE">
        <w:rPr>
          <w:rFonts w:asciiTheme="majorBidi" w:hAnsiTheme="majorBidi" w:cstheme="majorBidi"/>
          <w:sz w:val="24"/>
          <w:szCs w:val="24"/>
        </w:rPr>
        <w:t>hermenötik</w:t>
      </w:r>
      <w:r w:rsidR="00EB7051" w:rsidRPr="00D212EE">
        <w:rPr>
          <w:rFonts w:asciiTheme="majorBidi" w:hAnsiTheme="majorBidi" w:cstheme="majorBidi"/>
          <w:sz w:val="24"/>
          <w:szCs w:val="24"/>
        </w:rPr>
        <w:t xml:space="preserve"> kayma yaşamıştır</w:t>
      </w:r>
      <w:r w:rsidR="00741410">
        <w:rPr>
          <w:rStyle w:val="FootnoteReference"/>
          <w:rFonts w:asciiTheme="majorBidi" w:hAnsiTheme="majorBidi" w:cstheme="majorBidi"/>
          <w:sz w:val="24"/>
          <w:szCs w:val="24"/>
        </w:rPr>
        <w:footnoteReference w:id="3"/>
      </w:r>
      <w:r w:rsidR="00EB7051"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EB7051" w:rsidRPr="00D212EE">
        <w:rPr>
          <w:rFonts w:asciiTheme="majorBidi" w:hAnsiTheme="majorBidi" w:cstheme="majorBidi"/>
          <w:sz w:val="24"/>
          <w:szCs w:val="24"/>
        </w:rPr>
        <w:t>’in</w:t>
      </w:r>
      <w:proofErr w:type="spellEnd"/>
      <w:r w:rsidR="00EB7051" w:rsidRPr="00D212EE">
        <w:rPr>
          <w:rFonts w:asciiTheme="majorBidi" w:hAnsiTheme="majorBidi" w:cstheme="majorBidi"/>
          <w:sz w:val="24"/>
          <w:szCs w:val="24"/>
        </w:rPr>
        <w:t xml:space="preserve"> sistemli projesi, Müslüman zihnini hukuki-formalizmin durağanlığından kurtarmayı hedefleyerek, Tevhid inancını çoğulculuğun filolojik ve </w:t>
      </w:r>
      <w:proofErr w:type="spellStart"/>
      <w:r w:rsidR="00EB7051" w:rsidRPr="00D212EE">
        <w:rPr>
          <w:rFonts w:asciiTheme="majorBidi" w:hAnsiTheme="majorBidi" w:cstheme="majorBidi"/>
          <w:sz w:val="24"/>
          <w:szCs w:val="24"/>
        </w:rPr>
        <w:t>sosyo</w:t>
      </w:r>
      <w:proofErr w:type="spellEnd"/>
      <w:r w:rsidR="00EB7051" w:rsidRPr="00D212EE">
        <w:rPr>
          <w:rFonts w:asciiTheme="majorBidi" w:hAnsiTheme="majorBidi" w:cstheme="majorBidi"/>
          <w:sz w:val="24"/>
          <w:szCs w:val="24"/>
        </w:rPr>
        <w:t xml:space="preserve">-tarihsel savunmasıyla birleştirmektedir. Sekülarizasyon ve </w:t>
      </w:r>
      <w:proofErr w:type="spellStart"/>
      <w:r w:rsidR="00EB7051" w:rsidRPr="00D212EE">
        <w:rPr>
          <w:rFonts w:asciiTheme="majorBidi" w:hAnsiTheme="majorBidi" w:cstheme="majorBidi"/>
          <w:sz w:val="24"/>
          <w:szCs w:val="24"/>
        </w:rPr>
        <w:t>desakralizasyon</w:t>
      </w:r>
      <w:proofErr w:type="spellEnd"/>
      <w:r w:rsidR="00EB7051" w:rsidRPr="00D212EE">
        <w:rPr>
          <w:rFonts w:asciiTheme="majorBidi" w:hAnsiTheme="majorBidi" w:cstheme="majorBidi"/>
          <w:sz w:val="24"/>
          <w:szCs w:val="24"/>
        </w:rPr>
        <w:t xml:space="preserve"> kavramları aracılığıyla devletin araçsallaştırılmasını savunan bu yaklaşım, </w:t>
      </w:r>
      <w:r w:rsidR="00FE6A96">
        <w:rPr>
          <w:rFonts w:asciiTheme="majorBidi" w:hAnsiTheme="majorBidi" w:cstheme="majorBidi"/>
          <w:sz w:val="24"/>
          <w:szCs w:val="24"/>
        </w:rPr>
        <w:t>“</w:t>
      </w:r>
      <w:r w:rsidR="00EB7051" w:rsidRPr="00D212EE">
        <w:rPr>
          <w:rFonts w:asciiTheme="majorBidi" w:hAnsiTheme="majorBidi" w:cstheme="majorBidi"/>
          <w:sz w:val="24"/>
          <w:szCs w:val="24"/>
        </w:rPr>
        <w:t>İslam Evet, İslami Parti Hayır</w:t>
      </w:r>
      <w:r w:rsidR="00FE6A96">
        <w:rPr>
          <w:rFonts w:asciiTheme="majorBidi" w:hAnsiTheme="majorBidi" w:cstheme="majorBidi"/>
          <w:sz w:val="24"/>
          <w:szCs w:val="24"/>
        </w:rPr>
        <w:t>”</w:t>
      </w:r>
      <w:r w:rsidR="00EB7051" w:rsidRPr="00D212EE">
        <w:rPr>
          <w:rFonts w:asciiTheme="majorBidi" w:hAnsiTheme="majorBidi" w:cstheme="majorBidi"/>
          <w:sz w:val="24"/>
          <w:szCs w:val="24"/>
        </w:rPr>
        <w:t xml:space="preserve"> sloganında somutlaşan ahlaki özün, sembolik siyasetin önüne geçmesini öngörür. Bu çalışma, </w:t>
      </w:r>
      <w:proofErr w:type="spellStart"/>
      <w:r w:rsidRPr="00D212EE">
        <w:rPr>
          <w:rFonts w:asciiTheme="majorBidi" w:hAnsiTheme="majorBidi" w:cstheme="majorBidi"/>
          <w:sz w:val="24"/>
          <w:szCs w:val="24"/>
        </w:rPr>
        <w:t>Mâcid</w:t>
      </w:r>
      <w:r w:rsidR="00EB7051" w:rsidRPr="00D212EE">
        <w:rPr>
          <w:rFonts w:asciiTheme="majorBidi" w:hAnsiTheme="majorBidi" w:cstheme="majorBidi"/>
          <w:sz w:val="24"/>
          <w:szCs w:val="24"/>
        </w:rPr>
        <w:t>’in</w:t>
      </w:r>
      <w:proofErr w:type="spellEnd"/>
      <w:r w:rsidR="00EB7051" w:rsidRPr="00D212EE">
        <w:rPr>
          <w:rFonts w:asciiTheme="majorBidi" w:hAnsiTheme="majorBidi" w:cstheme="majorBidi"/>
          <w:sz w:val="24"/>
          <w:szCs w:val="24"/>
        </w:rPr>
        <w:t xml:space="preserve"> düşünce atlasındaki bu temel sütunları analiz ederek, onun modernite ile gelenek arasında kurduğu sentezin mahiyetini ortaya koymayı amaçlamaktadır.</w:t>
      </w:r>
    </w:p>
    <w:p w14:paraId="3D4C1D76" w14:textId="33052412" w:rsidR="009F5A59" w:rsidRPr="00D212EE" w:rsidRDefault="009F5A59" w:rsidP="00FE6A96">
      <w:pPr>
        <w:pStyle w:val="Heading2"/>
        <w:spacing w:line="360" w:lineRule="auto"/>
        <w:jc w:val="both"/>
      </w:pPr>
      <w:bookmarkStart w:id="6" w:name="_Toc218886223"/>
      <w:bookmarkStart w:id="7" w:name="_Toc218901283"/>
      <w:bookmarkStart w:id="8" w:name="_Toc219409244"/>
      <w:r w:rsidRPr="00D212EE">
        <w:t xml:space="preserve">Hayat ve </w:t>
      </w:r>
      <w:r w:rsidR="00245B40" w:rsidRPr="00D212EE">
        <w:t>Eğitim</w:t>
      </w:r>
      <w:bookmarkEnd w:id="6"/>
      <w:bookmarkEnd w:id="7"/>
      <w:bookmarkEnd w:id="8"/>
    </w:p>
    <w:p w14:paraId="28CB6EAC" w14:textId="2BCC906B" w:rsidR="009F5A59" w:rsidRPr="00D212EE" w:rsidRDefault="00597A56" w:rsidP="00FE6A9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Y</w:t>
      </w:r>
      <w:r w:rsidR="009F5A59" w:rsidRPr="00D212EE">
        <w:rPr>
          <w:rFonts w:asciiTheme="majorBidi" w:hAnsiTheme="majorBidi" w:cstheme="majorBidi"/>
          <w:sz w:val="24"/>
          <w:szCs w:val="24"/>
        </w:rPr>
        <w:t xml:space="preserve">aygın olarak </w:t>
      </w:r>
      <w:proofErr w:type="spellStart"/>
      <w:r w:rsidR="009F5A59" w:rsidRPr="00D212EE">
        <w:rPr>
          <w:rFonts w:asciiTheme="majorBidi" w:hAnsiTheme="majorBidi" w:cstheme="majorBidi"/>
          <w:sz w:val="24"/>
          <w:szCs w:val="24"/>
        </w:rPr>
        <w:t>Cak</w:t>
      </w:r>
      <w:proofErr w:type="spellEnd"/>
      <w:r w:rsidR="009F5A59" w:rsidRPr="00D212EE">
        <w:rPr>
          <w:rFonts w:asciiTheme="majorBidi" w:hAnsiTheme="majorBidi" w:cstheme="majorBidi"/>
          <w:sz w:val="24"/>
          <w:szCs w:val="24"/>
        </w:rPr>
        <w:t xml:space="preserve"> Nur adıyla bilinen</w:t>
      </w:r>
      <w:r>
        <w:rPr>
          <w:rFonts w:asciiTheme="majorBidi" w:hAnsiTheme="majorBidi" w:cstheme="majorBidi"/>
          <w:sz w:val="24"/>
          <w:szCs w:val="24"/>
        </w:rPr>
        <w:t xml:space="preserve"> </w:t>
      </w:r>
      <w:proofErr w:type="spellStart"/>
      <w:r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proofErr w:type="spellEnd"/>
      <w:r w:rsidR="009F5A59" w:rsidRPr="00D212EE">
        <w:rPr>
          <w:rFonts w:asciiTheme="majorBidi" w:hAnsiTheme="majorBidi" w:cstheme="majorBidi"/>
          <w:sz w:val="24"/>
          <w:szCs w:val="24"/>
        </w:rPr>
        <w:t xml:space="preserve">, modern Endonezya tarihinin en etkili Müslüman entelektüellerinden biridir. Guru </w:t>
      </w:r>
      <w:proofErr w:type="spellStart"/>
      <w:r w:rsidR="009F5A59" w:rsidRPr="00D212EE">
        <w:rPr>
          <w:rFonts w:asciiTheme="majorBidi" w:hAnsiTheme="majorBidi" w:cstheme="majorBidi"/>
          <w:sz w:val="24"/>
          <w:szCs w:val="24"/>
        </w:rPr>
        <w:t>Bangsa</w:t>
      </w:r>
      <w:proofErr w:type="spellEnd"/>
      <w:r w:rsidR="009F5A59" w:rsidRPr="00D212EE">
        <w:rPr>
          <w:rStyle w:val="FootnoteReference"/>
          <w:rFonts w:asciiTheme="majorBidi" w:hAnsiTheme="majorBidi" w:cstheme="majorBidi"/>
          <w:sz w:val="24"/>
          <w:szCs w:val="24"/>
        </w:rPr>
        <w:footnoteReference w:id="4"/>
      </w:r>
      <w:r w:rsidR="009F5A59" w:rsidRPr="00D212EE">
        <w:rPr>
          <w:rFonts w:asciiTheme="majorBidi" w:hAnsiTheme="majorBidi" w:cstheme="majorBidi"/>
          <w:sz w:val="24"/>
          <w:szCs w:val="24"/>
        </w:rPr>
        <w:t xml:space="preserve"> olarak da anılan </w:t>
      </w:r>
      <w:proofErr w:type="spellStart"/>
      <w:r w:rsidR="00031206" w:rsidRPr="00D212EE">
        <w:rPr>
          <w:rFonts w:asciiTheme="majorBidi" w:hAnsiTheme="majorBidi" w:cstheme="majorBidi"/>
          <w:sz w:val="24"/>
          <w:szCs w:val="24"/>
        </w:rPr>
        <w:t>Mâcid</w:t>
      </w:r>
      <w:proofErr w:type="spellEnd"/>
      <w:r w:rsidR="009F5A59" w:rsidRPr="00D212EE">
        <w:rPr>
          <w:rFonts w:asciiTheme="majorBidi" w:hAnsiTheme="majorBidi" w:cstheme="majorBidi"/>
          <w:sz w:val="24"/>
          <w:szCs w:val="24"/>
        </w:rPr>
        <w:t>, İslam düşüncesini modernite, demokrasi, çoğulculuk ve evrensel insan haklarıyla uyumlu bir çerçevede yeniden yorumlayarak Endonezya’daki çağdaş İslami söylemin şekillenmesinde belirleyici bir rol oynamıştır. Akademik çalışmaları, kamusal müdahaleleri ve ahlaki liderliği sayesinde Güneydoğu Asya’da İslami Neo-Modernizmin gelişiminde merkezi bir figür hâline gelmiştir.</w:t>
      </w:r>
    </w:p>
    <w:p w14:paraId="1F618504" w14:textId="655A6B92" w:rsidR="009F5A59"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lastRenderedPageBreak/>
        <w:t>Nurhâlis</w:t>
      </w:r>
      <w:proofErr w:type="spellEnd"/>
      <w:r w:rsidR="009F5A59"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proofErr w:type="spellEnd"/>
      <w:r w:rsidR="009F5A59" w:rsidRPr="00D212EE">
        <w:rPr>
          <w:rFonts w:asciiTheme="majorBidi" w:hAnsiTheme="majorBidi" w:cstheme="majorBidi"/>
          <w:sz w:val="24"/>
          <w:szCs w:val="24"/>
        </w:rPr>
        <w:t xml:space="preserve">, 17 Mart 1939’da Doğu </w:t>
      </w:r>
      <w:proofErr w:type="spellStart"/>
      <w:r w:rsidR="009F5A59" w:rsidRPr="00D212EE">
        <w:rPr>
          <w:rFonts w:asciiTheme="majorBidi" w:hAnsiTheme="majorBidi" w:cstheme="majorBidi"/>
          <w:sz w:val="24"/>
          <w:szCs w:val="24"/>
        </w:rPr>
        <w:t>Cava’nın</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Jombang</w:t>
      </w:r>
      <w:proofErr w:type="spellEnd"/>
      <w:r w:rsidR="009F5A59" w:rsidRPr="00D212EE">
        <w:rPr>
          <w:rFonts w:asciiTheme="majorBidi" w:hAnsiTheme="majorBidi" w:cstheme="majorBidi"/>
          <w:sz w:val="24"/>
          <w:szCs w:val="24"/>
        </w:rPr>
        <w:t xml:space="preserve"> bölgesine bağlı </w:t>
      </w:r>
      <w:proofErr w:type="spellStart"/>
      <w:r w:rsidR="009F5A59" w:rsidRPr="00D212EE">
        <w:rPr>
          <w:rFonts w:asciiTheme="majorBidi" w:hAnsiTheme="majorBidi" w:cstheme="majorBidi"/>
          <w:sz w:val="24"/>
          <w:szCs w:val="24"/>
        </w:rPr>
        <w:t>Mojoanyar’da</w:t>
      </w:r>
      <w:proofErr w:type="spellEnd"/>
      <w:r w:rsidR="009F5A59" w:rsidRPr="00D212EE">
        <w:rPr>
          <w:rFonts w:asciiTheme="majorBidi" w:hAnsiTheme="majorBidi" w:cstheme="majorBidi"/>
          <w:sz w:val="24"/>
          <w:szCs w:val="24"/>
        </w:rPr>
        <w:t xml:space="preserve"> dünyaya gelmiştir. Bu bölge, geleneksel Cava </w:t>
      </w:r>
      <w:proofErr w:type="spellStart"/>
      <w:r w:rsidR="009F5A59" w:rsidRPr="00D212EE">
        <w:rPr>
          <w:rFonts w:asciiTheme="majorBidi" w:hAnsiTheme="majorBidi" w:cstheme="majorBidi"/>
          <w:sz w:val="24"/>
          <w:szCs w:val="24"/>
        </w:rPr>
        <w:t>İslamı</w:t>
      </w:r>
      <w:proofErr w:type="spellEnd"/>
      <w:r w:rsidR="009F5A59" w:rsidRPr="00D212EE">
        <w:rPr>
          <w:rFonts w:asciiTheme="majorBidi" w:hAnsiTheme="majorBidi" w:cstheme="majorBidi"/>
          <w:sz w:val="24"/>
          <w:szCs w:val="24"/>
        </w:rPr>
        <w:t xml:space="preserve"> ve </w:t>
      </w:r>
      <w:proofErr w:type="spellStart"/>
      <w:r w:rsidR="009F5A59" w:rsidRPr="00D212EE">
        <w:rPr>
          <w:rFonts w:asciiTheme="majorBidi" w:hAnsiTheme="majorBidi" w:cstheme="majorBidi"/>
          <w:sz w:val="24"/>
          <w:szCs w:val="24"/>
        </w:rPr>
        <w:t>pesantren</w:t>
      </w:r>
      <w:proofErr w:type="spellEnd"/>
      <w:r w:rsidR="009F5A59" w:rsidRPr="00D212EE">
        <w:rPr>
          <w:rStyle w:val="FootnoteReference"/>
          <w:rFonts w:asciiTheme="majorBidi" w:hAnsiTheme="majorBidi" w:cstheme="majorBidi"/>
          <w:sz w:val="24"/>
          <w:szCs w:val="24"/>
        </w:rPr>
        <w:footnoteReference w:id="5"/>
      </w:r>
      <w:r w:rsidR="009F5A59" w:rsidRPr="00D212EE">
        <w:rPr>
          <w:rFonts w:asciiTheme="majorBidi" w:hAnsiTheme="majorBidi" w:cstheme="majorBidi"/>
          <w:sz w:val="24"/>
          <w:szCs w:val="24"/>
        </w:rPr>
        <w:t xml:space="preserve"> kültürünün merkezlerinden biri olarak kabul edilmektedir. Ailevi ve toplumsal çevresi,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entelektüel yöneliminin şekillenmesinde belirleyici olmuştur. Babası KH Abdul </w:t>
      </w:r>
      <w:proofErr w:type="spellStart"/>
      <w:r w:rsidRPr="00D212EE">
        <w:rPr>
          <w:rFonts w:asciiTheme="majorBidi" w:hAnsiTheme="majorBidi" w:cstheme="majorBidi"/>
          <w:sz w:val="24"/>
          <w:szCs w:val="24"/>
        </w:rPr>
        <w:t>Mâcid</w:t>
      </w:r>
      <w:proofErr w:type="spellEnd"/>
      <w:r w:rsidR="009F5A59" w:rsidRPr="00D212EE">
        <w:rPr>
          <w:rFonts w:asciiTheme="majorBidi" w:hAnsiTheme="majorBidi" w:cstheme="majorBidi"/>
          <w:sz w:val="24"/>
          <w:szCs w:val="24"/>
        </w:rPr>
        <w:t xml:space="preserve">, meşhur </w:t>
      </w:r>
      <w:proofErr w:type="spellStart"/>
      <w:r w:rsidR="009F5A59" w:rsidRPr="00D212EE">
        <w:rPr>
          <w:rFonts w:asciiTheme="majorBidi" w:hAnsiTheme="majorBidi" w:cstheme="majorBidi"/>
          <w:sz w:val="24"/>
          <w:szCs w:val="24"/>
        </w:rPr>
        <w:t>Tebuireng</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Pesantreni</w:t>
      </w:r>
      <w:proofErr w:type="spellEnd"/>
      <w:r w:rsidR="009F5A59" w:rsidRPr="00D212EE">
        <w:rPr>
          <w:rFonts w:asciiTheme="majorBidi" w:hAnsiTheme="majorBidi" w:cstheme="majorBidi"/>
          <w:sz w:val="24"/>
          <w:szCs w:val="24"/>
        </w:rPr>
        <w:t xml:space="preserve"> mezunu saygın bir </w:t>
      </w:r>
      <w:r w:rsidR="006716DE" w:rsidRPr="00D212EE">
        <w:rPr>
          <w:rFonts w:asciiTheme="majorBidi" w:hAnsiTheme="majorBidi" w:cstheme="majorBidi"/>
          <w:sz w:val="24"/>
          <w:szCs w:val="24"/>
        </w:rPr>
        <w:t>“</w:t>
      </w:r>
      <w:proofErr w:type="spellStart"/>
      <w:r w:rsidR="009F5A59" w:rsidRPr="00D212EE">
        <w:rPr>
          <w:rFonts w:asciiTheme="majorBidi" w:hAnsiTheme="majorBidi" w:cstheme="majorBidi"/>
          <w:sz w:val="24"/>
          <w:szCs w:val="24"/>
        </w:rPr>
        <w:t>kiai</w:t>
      </w:r>
      <w:proofErr w:type="spellEnd"/>
      <w:r w:rsidR="006716DE" w:rsidRPr="00D212EE">
        <w:rPr>
          <w:rFonts w:asciiTheme="majorBidi" w:hAnsiTheme="majorBidi" w:cstheme="majorBidi"/>
          <w:sz w:val="24"/>
          <w:szCs w:val="24"/>
        </w:rPr>
        <w:t xml:space="preserve"> </w:t>
      </w:r>
      <w:proofErr w:type="spellStart"/>
      <w:r w:rsidR="006716DE" w:rsidRPr="00D212EE">
        <w:rPr>
          <w:rFonts w:asciiTheme="majorBidi" w:hAnsiTheme="majorBidi" w:cstheme="majorBidi"/>
          <w:sz w:val="24"/>
          <w:szCs w:val="24"/>
        </w:rPr>
        <w:t>haji</w:t>
      </w:r>
      <w:proofErr w:type="spellEnd"/>
      <w:r w:rsidR="009F5A59" w:rsidRPr="00D212EE">
        <w:rPr>
          <w:rStyle w:val="FootnoteReference"/>
          <w:rFonts w:asciiTheme="majorBidi" w:hAnsiTheme="majorBidi" w:cstheme="majorBidi"/>
          <w:sz w:val="24"/>
          <w:szCs w:val="24"/>
        </w:rPr>
        <w:footnoteReference w:id="6"/>
      </w:r>
      <w:r w:rsidR="006716DE" w:rsidRPr="00D212EE">
        <w:rPr>
          <w:rFonts w:asciiTheme="majorBidi" w:hAnsiTheme="majorBidi" w:cstheme="majorBidi"/>
          <w:sz w:val="24"/>
          <w:szCs w:val="24"/>
        </w:rPr>
        <w:t>”</w:t>
      </w:r>
      <w:r w:rsidR="009F5A59" w:rsidRPr="00D212EE">
        <w:rPr>
          <w:rFonts w:asciiTheme="majorBidi" w:hAnsiTheme="majorBidi" w:cstheme="majorBidi"/>
          <w:sz w:val="24"/>
          <w:szCs w:val="24"/>
        </w:rPr>
        <w:t xml:space="preserve"> olup, Endonezya’nın bağımsızlık sonrası erken döneminde </w:t>
      </w:r>
      <w:proofErr w:type="spellStart"/>
      <w:r w:rsidR="009F5A59" w:rsidRPr="00D212EE">
        <w:rPr>
          <w:rFonts w:asciiTheme="majorBidi" w:hAnsiTheme="majorBidi" w:cstheme="majorBidi"/>
          <w:sz w:val="24"/>
          <w:szCs w:val="24"/>
        </w:rPr>
        <w:t>modernist</w:t>
      </w:r>
      <w:proofErr w:type="spellEnd"/>
      <w:r w:rsidR="009F5A59" w:rsidRPr="00D212EE">
        <w:rPr>
          <w:rFonts w:asciiTheme="majorBidi" w:hAnsiTheme="majorBidi" w:cstheme="majorBidi"/>
          <w:sz w:val="24"/>
          <w:szCs w:val="24"/>
        </w:rPr>
        <w:t xml:space="preserve"> İslamcı siyasetin öncü oluşumlarından biri olan </w:t>
      </w:r>
      <w:proofErr w:type="spellStart"/>
      <w:r w:rsidR="009F5A59" w:rsidRPr="00D212EE">
        <w:rPr>
          <w:rFonts w:asciiTheme="majorBidi" w:hAnsiTheme="majorBidi" w:cstheme="majorBidi"/>
          <w:sz w:val="24"/>
          <w:szCs w:val="24"/>
        </w:rPr>
        <w:t>Masyumi</w:t>
      </w:r>
      <w:proofErr w:type="spellEnd"/>
      <w:r w:rsidR="009F5A59" w:rsidRPr="00D212EE">
        <w:rPr>
          <w:rFonts w:asciiTheme="majorBidi" w:hAnsiTheme="majorBidi" w:cstheme="majorBidi"/>
          <w:sz w:val="24"/>
          <w:szCs w:val="24"/>
        </w:rPr>
        <w:t xml:space="preserve"> Partisi’nin destekçisiydi</w:t>
      </w:r>
      <w:r w:rsidR="00B30D75" w:rsidRPr="00D212EE">
        <w:rPr>
          <w:rStyle w:val="FootnoteReference"/>
          <w:rFonts w:asciiTheme="majorBidi" w:hAnsiTheme="majorBidi" w:cstheme="majorBidi"/>
          <w:sz w:val="24"/>
          <w:szCs w:val="24"/>
        </w:rPr>
        <w:footnoteReference w:id="7"/>
      </w:r>
      <w:r w:rsidR="009F5A59" w:rsidRPr="00D212EE">
        <w:rPr>
          <w:rFonts w:asciiTheme="majorBidi" w:hAnsiTheme="majorBidi" w:cstheme="majorBidi"/>
          <w:sz w:val="24"/>
          <w:szCs w:val="24"/>
        </w:rPr>
        <w:t xml:space="preserve">. Bu ortam,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w:t>
      </w:r>
      <w:proofErr w:type="spellEnd"/>
      <w:r w:rsidR="009F5A59" w:rsidRPr="00D212EE">
        <w:rPr>
          <w:rFonts w:asciiTheme="majorBidi" w:hAnsiTheme="majorBidi" w:cstheme="majorBidi"/>
          <w:sz w:val="24"/>
          <w:szCs w:val="24"/>
        </w:rPr>
        <w:t xml:space="preserve"> erken yaşlardan itibaren dinî ilimlerle toplumsal ve siyasal sorumluluk arasındaki ilişkiye aşina kılmıştır. Dini hassasiyet ile entelektüel açıklığı bir arada teşvik eden bir aile ortamında yetişmesi,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İslam ile modern toplum arasındaki gerilimlere karşı duyarlılık geliştirmesine zemin hazırlamıştır. Bu tecrübe, ilerleyen yıllarda onun İslami geleneği modern ulus-devlet bağlamında yeniden düşünme çabasının temelini oluşturmuştur.</w:t>
      </w:r>
    </w:p>
    <w:p w14:paraId="7B38BDB2" w14:textId="6969EC24" w:rsidR="009F5A59"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eğitim serüveni, klasik İslami öğrenim ile modern akademik formasyonu bir araya getiren özgün bir sentez sunmaktadır. Çocukluk yıllarında sabahları devlet ilkokuluna, öğleden sonraları ise babasının yönettiği </w:t>
      </w:r>
      <w:proofErr w:type="spellStart"/>
      <w:r w:rsidR="009F5A59" w:rsidRPr="00D212EE">
        <w:rPr>
          <w:rFonts w:asciiTheme="majorBidi" w:hAnsiTheme="majorBidi" w:cstheme="majorBidi"/>
          <w:sz w:val="24"/>
          <w:szCs w:val="24"/>
        </w:rPr>
        <w:t>Madrasah</w:t>
      </w:r>
      <w:proofErr w:type="spellEnd"/>
      <w:r w:rsidR="009F5A59" w:rsidRPr="00D212EE">
        <w:rPr>
          <w:rFonts w:asciiTheme="majorBidi" w:hAnsiTheme="majorBidi" w:cstheme="majorBidi"/>
          <w:sz w:val="24"/>
          <w:szCs w:val="24"/>
        </w:rPr>
        <w:t xml:space="preserve"> al-</w:t>
      </w:r>
      <w:proofErr w:type="spellStart"/>
      <w:r w:rsidR="009F5A59" w:rsidRPr="00D212EE">
        <w:rPr>
          <w:rFonts w:asciiTheme="majorBidi" w:hAnsiTheme="majorBidi" w:cstheme="majorBidi"/>
          <w:sz w:val="24"/>
          <w:szCs w:val="24"/>
        </w:rPr>
        <w:t>Wathaniyah’a</w:t>
      </w:r>
      <w:proofErr w:type="spellEnd"/>
      <w:r w:rsidR="009F5A59" w:rsidRPr="00D212EE">
        <w:rPr>
          <w:rFonts w:asciiTheme="majorBidi" w:hAnsiTheme="majorBidi" w:cstheme="majorBidi"/>
          <w:sz w:val="24"/>
          <w:szCs w:val="24"/>
        </w:rPr>
        <w:t xml:space="preserve"> devam etmiştir. Bu ikili eğitim modeli, ona hem seküler bilgiye hem de dinî ilimlere erken yaşta aşinalık kazandırmıştır. </w:t>
      </w:r>
      <w:proofErr w:type="spellStart"/>
      <w:r w:rsidR="009F5A59" w:rsidRPr="00D212EE">
        <w:rPr>
          <w:rFonts w:asciiTheme="majorBidi" w:hAnsiTheme="majorBidi" w:cstheme="majorBidi"/>
          <w:sz w:val="24"/>
          <w:szCs w:val="24"/>
        </w:rPr>
        <w:t>Pesantren</w:t>
      </w:r>
      <w:proofErr w:type="spellEnd"/>
      <w:r w:rsidR="009F5A59" w:rsidRPr="00D212EE">
        <w:rPr>
          <w:rFonts w:asciiTheme="majorBidi" w:hAnsiTheme="majorBidi" w:cstheme="majorBidi"/>
          <w:sz w:val="24"/>
          <w:szCs w:val="24"/>
        </w:rPr>
        <w:t xml:space="preserve"> eğitimi, onun düşünsel gelişimini daha da derinleştirmiştir. </w:t>
      </w:r>
      <w:proofErr w:type="spellStart"/>
      <w:r w:rsidR="00245B40" w:rsidRPr="00D212EE">
        <w:rPr>
          <w:rFonts w:asciiTheme="majorBidi" w:hAnsiTheme="majorBidi" w:cstheme="majorBidi"/>
          <w:sz w:val="24"/>
          <w:szCs w:val="24"/>
        </w:rPr>
        <w:t>Nehdatü’l-</w:t>
      </w:r>
      <w:r w:rsidR="00E2273E">
        <w:rPr>
          <w:rFonts w:asciiTheme="majorBidi" w:hAnsiTheme="majorBidi" w:cstheme="majorBidi"/>
          <w:sz w:val="24"/>
          <w:szCs w:val="24"/>
        </w:rPr>
        <w:t>U</w:t>
      </w:r>
      <w:r w:rsidR="00245B40" w:rsidRPr="00D212EE">
        <w:rPr>
          <w:rFonts w:asciiTheme="majorBidi" w:hAnsiTheme="majorBidi" w:cstheme="majorBidi"/>
          <w:sz w:val="24"/>
          <w:szCs w:val="24"/>
        </w:rPr>
        <w:t>lemâ</w:t>
      </w:r>
      <w:r w:rsidR="00E2273E">
        <w:rPr>
          <w:rFonts w:asciiTheme="majorBidi" w:hAnsiTheme="majorBidi" w:cstheme="majorBidi"/>
          <w:sz w:val="24"/>
          <w:szCs w:val="24"/>
        </w:rPr>
        <w:t>’</w:t>
      </w:r>
      <w:r w:rsidR="00245B40" w:rsidRPr="00D212EE">
        <w:rPr>
          <w:rFonts w:asciiTheme="majorBidi" w:hAnsiTheme="majorBidi" w:cstheme="majorBidi"/>
          <w:sz w:val="24"/>
          <w:szCs w:val="24"/>
        </w:rPr>
        <w:t>ya</w:t>
      </w:r>
      <w:proofErr w:type="spellEnd"/>
      <w:r w:rsidR="009F5A59" w:rsidRPr="00D212EE">
        <w:rPr>
          <w:rFonts w:asciiTheme="majorBidi" w:hAnsiTheme="majorBidi" w:cstheme="majorBidi"/>
          <w:sz w:val="24"/>
          <w:szCs w:val="24"/>
        </w:rPr>
        <w:t xml:space="preserve"> bağlı </w:t>
      </w:r>
      <w:proofErr w:type="spellStart"/>
      <w:r w:rsidR="009F5A59" w:rsidRPr="00D212EE">
        <w:rPr>
          <w:rFonts w:asciiTheme="majorBidi" w:hAnsiTheme="majorBidi" w:cstheme="majorBidi"/>
          <w:sz w:val="24"/>
          <w:szCs w:val="24"/>
        </w:rPr>
        <w:t>Darul</w:t>
      </w:r>
      <w:proofErr w:type="spellEnd"/>
      <w:r w:rsidR="009F5A59" w:rsidRPr="00D212EE">
        <w:rPr>
          <w:rFonts w:asciiTheme="majorBidi" w:hAnsiTheme="majorBidi" w:cstheme="majorBidi"/>
          <w:sz w:val="24"/>
          <w:szCs w:val="24"/>
        </w:rPr>
        <w:t xml:space="preserve"> ‘Ulum </w:t>
      </w:r>
      <w:proofErr w:type="spellStart"/>
      <w:r w:rsidR="009F5A59" w:rsidRPr="00D212EE">
        <w:rPr>
          <w:rFonts w:asciiTheme="majorBidi" w:hAnsiTheme="majorBidi" w:cstheme="majorBidi"/>
          <w:sz w:val="24"/>
          <w:szCs w:val="24"/>
        </w:rPr>
        <w:t>Rejoso’da</w:t>
      </w:r>
      <w:proofErr w:type="spellEnd"/>
      <w:r w:rsidR="009F5A59" w:rsidRPr="00D212EE">
        <w:rPr>
          <w:rFonts w:asciiTheme="majorBidi" w:hAnsiTheme="majorBidi" w:cstheme="majorBidi"/>
          <w:sz w:val="24"/>
          <w:szCs w:val="24"/>
        </w:rPr>
        <w:t xml:space="preserve"> kısa bir süre eğitim aldıktan sonra, </w:t>
      </w:r>
      <w:proofErr w:type="spellStart"/>
      <w:r w:rsidR="009F5A59" w:rsidRPr="00D212EE">
        <w:rPr>
          <w:rFonts w:asciiTheme="majorBidi" w:hAnsiTheme="majorBidi" w:cstheme="majorBidi"/>
          <w:sz w:val="24"/>
          <w:szCs w:val="24"/>
        </w:rPr>
        <w:t>Ponorogo’daki</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Pondok</w:t>
      </w:r>
      <w:proofErr w:type="spellEnd"/>
      <w:r w:rsidR="009F5A59" w:rsidRPr="00D212EE">
        <w:rPr>
          <w:rFonts w:asciiTheme="majorBidi" w:hAnsiTheme="majorBidi" w:cstheme="majorBidi"/>
          <w:sz w:val="24"/>
          <w:szCs w:val="24"/>
        </w:rPr>
        <w:t xml:space="preserve"> Modern </w:t>
      </w:r>
      <w:proofErr w:type="spellStart"/>
      <w:r w:rsidR="009F5A59" w:rsidRPr="00D212EE">
        <w:rPr>
          <w:rFonts w:asciiTheme="majorBidi" w:hAnsiTheme="majorBidi" w:cstheme="majorBidi"/>
          <w:sz w:val="24"/>
          <w:szCs w:val="24"/>
        </w:rPr>
        <w:t>Darussalam</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Gontor’a</w:t>
      </w:r>
      <w:proofErr w:type="spellEnd"/>
      <w:r w:rsidR="009F5A59" w:rsidRPr="00D212EE">
        <w:rPr>
          <w:rFonts w:asciiTheme="majorBidi" w:hAnsiTheme="majorBidi" w:cstheme="majorBidi"/>
          <w:sz w:val="24"/>
          <w:szCs w:val="24"/>
        </w:rPr>
        <w:t xml:space="preserve"> geçmiştir</w:t>
      </w:r>
      <w:r w:rsidR="00B30D75" w:rsidRPr="00D212EE">
        <w:rPr>
          <w:rStyle w:val="FootnoteReference"/>
          <w:rFonts w:asciiTheme="majorBidi" w:hAnsiTheme="majorBidi" w:cstheme="majorBidi"/>
          <w:sz w:val="24"/>
          <w:szCs w:val="24"/>
        </w:rPr>
        <w:footnoteReference w:id="8"/>
      </w:r>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Gontor</w:t>
      </w:r>
      <w:proofErr w:type="spellEnd"/>
      <w:r w:rsidR="009F5A59"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entelektüel karakterinin oluşumunda kritik bir rol oynamıştır. Belirli bir fıkıh mezhebine sıkı bağlılığı esas alan geleneksel </w:t>
      </w:r>
      <w:proofErr w:type="spellStart"/>
      <w:r w:rsidR="009F5A59" w:rsidRPr="00D212EE">
        <w:rPr>
          <w:rFonts w:asciiTheme="majorBidi" w:hAnsiTheme="majorBidi" w:cstheme="majorBidi"/>
          <w:sz w:val="24"/>
          <w:szCs w:val="24"/>
        </w:rPr>
        <w:t>pesantrenlerin</w:t>
      </w:r>
      <w:proofErr w:type="spellEnd"/>
      <w:r w:rsidR="009F5A59" w:rsidRPr="00D212EE">
        <w:rPr>
          <w:rFonts w:asciiTheme="majorBidi" w:hAnsiTheme="majorBidi" w:cstheme="majorBidi"/>
          <w:sz w:val="24"/>
          <w:szCs w:val="24"/>
        </w:rPr>
        <w:t xml:space="preserve"> aksine, </w:t>
      </w:r>
      <w:proofErr w:type="spellStart"/>
      <w:r w:rsidR="009F5A59" w:rsidRPr="00D212EE">
        <w:rPr>
          <w:rFonts w:asciiTheme="majorBidi" w:hAnsiTheme="majorBidi" w:cstheme="majorBidi"/>
          <w:sz w:val="24"/>
          <w:szCs w:val="24"/>
        </w:rPr>
        <w:t>Gontor</w:t>
      </w:r>
      <w:proofErr w:type="spellEnd"/>
      <w:r w:rsidR="009F5A59" w:rsidRPr="00D212EE">
        <w:rPr>
          <w:rFonts w:asciiTheme="majorBidi" w:hAnsiTheme="majorBidi" w:cstheme="majorBidi"/>
          <w:sz w:val="24"/>
          <w:szCs w:val="24"/>
        </w:rPr>
        <w:t xml:space="preserve"> disiplin, eleştirel düşünce, Arapça ve İngilizce hâkimiyeti ile farklı İslami düşünce ekollerine açıklığı önceleyen bir eğitim anlayışı benimsemiştir. Bu çoğulcu ve </w:t>
      </w:r>
      <w:proofErr w:type="spellStart"/>
      <w:r w:rsidR="009F5A59" w:rsidRPr="00D212EE">
        <w:rPr>
          <w:rFonts w:asciiTheme="majorBidi" w:hAnsiTheme="majorBidi" w:cstheme="majorBidi"/>
          <w:sz w:val="24"/>
          <w:szCs w:val="24"/>
        </w:rPr>
        <w:t>mezheplerüstü</w:t>
      </w:r>
      <w:proofErr w:type="spellEnd"/>
      <w:r w:rsidR="009F5A59" w:rsidRPr="00D212EE">
        <w:rPr>
          <w:rFonts w:asciiTheme="majorBidi" w:hAnsiTheme="majorBidi" w:cstheme="majorBidi"/>
          <w:sz w:val="24"/>
          <w:szCs w:val="24"/>
        </w:rPr>
        <w:t xml:space="preserve"> yaklaşım,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daha sonraki yıllarda İslam düşüncesinde katı ideolojik sınırları reddetmesinin temelini atmıştır. Yükseköğrenimini Jakarta’daki </w:t>
      </w:r>
      <w:proofErr w:type="spellStart"/>
      <w:r w:rsidR="009F5A59" w:rsidRPr="00D212EE">
        <w:rPr>
          <w:rFonts w:asciiTheme="majorBidi" w:hAnsiTheme="majorBidi" w:cstheme="majorBidi"/>
          <w:sz w:val="24"/>
          <w:szCs w:val="24"/>
        </w:rPr>
        <w:t>I</w:t>
      </w:r>
      <w:r w:rsidR="009351BA" w:rsidRPr="00D212EE">
        <w:rPr>
          <w:rFonts w:asciiTheme="majorBidi" w:hAnsiTheme="majorBidi" w:cstheme="majorBidi"/>
          <w:sz w:val="24"/>
          <w:szCs w:val="24"/>
        </w:rPr>
        <w:t>nstitut</w:t>
      </w:r>
      <w:proofErr w:type="spellEnd"/>
      <w:r w:rsidR="009351BA" w:rsidRPr="00D212EE">
        <w:rPr>
          <w:rFonts w:asciiTheme="majorBidi" w:hAnsiTheme="majorBidi" w:cstheme="majorBidi"/>
          <w:sz w:val="24"/>
          <w:szCs w:val="24"/>
        </w:rPr>
        <w:t xml:space="preserve"> </w:t>
      </w:r>
      <w:proofErr w:type="spellStart"/>
      <w:r w:rsidR="009351BA" w:rsidRPr="00D212EE">
        <w:rPr>
          <w:rFonts w:asciiTheme="majorBidi" w:hAnsiTheme="majorBidi" w:cstheme="majorBidi"/>
          <w:sz w:val="24"/>
          <w:szCs w:val="24"/>
        </w:rPr>
        <w:t>Agama</w:t>
      </w:r>
      <w:proofErr w:type="spellEnd"/>
      <w:r w:rsidR="009351BA" w:rsidRPr="00D212EE">
        <w:rPr>
          <w:rFonts w:asciiTheme="majorBidi" w:hAnsiTheme="majorBidi" w:cstheme="majorBidi"/>
          <w:sz w:val="24"/>
          <w:szCs w:val="24"/>
        </w:rPr>
        <w:t xml:space="preserve"> </w:t>
      </w:r>
      <w:proofErr w:type="spellStart"/>
      <w:r w:rsidR="009351BA" w:rsidRPr="00D212EE">
        <w:rPr>
          <w:rFonts w:asciiTheme="majorBidi" w:hAnsiTheme="majorBidi" w:cstheme="majorBidi"/>
          <w:sz w:val="24"/>
          <w:szCs w:val="24"/>
        </w:rPr>
        <w:t>Islam</w:t>
      </w:r>
      <w:proofErr w:type="spellEnd"/>
      <w:r w:rsidR="009351BA" w:rsidRPr="00D212EE">
        <w:rPr>
          <w:rFonts w:asciiTheme="majorBidi" w:hAnsiTheme="majorBidi" w:cstheme="majorBidi"/>
          <w:sz w:val="24"/>
          <w:szCs w:val="24"/>
        </w:rPr>
        <w:t xml:space="preserve"> </w:t>
      </w:r>
      <w:proofErr w:type="spellStart"/>
      <w:r w:rsidR="009351BA" w:rsidRPr="00D212EE">
        <w:rPr>
          <w:rFonts w:asciiTheme="majorBidi" w:hAnsiTheme="majorBidi" w:cstheme="majorBidi"/>
          <w:sz w:val="24"/>
          <w:szCs w:val="24"/>
        </w:rPr>
        <w:t>Negeri</w:t>
      </w:r>
      <w:proofErr w:type="spellEnd"/>
      <w:r w:rsidR="00B30D75" w:rsidRPr="00D212EE">
        <w:rPr>
          <w:rStyle w:val="FootnoteReference"/>
          <w:rFonts w:asciiTheme="majorBidi" w:hAnsiTheme="majorBidi" w:cstheme="majorBidi"/>
          <w:sz w:val="24"/>
          <w:szCs w:val="24"/>
        </w:rPr>
        <w:footnoteReference w:id="9"/>
      </w:r>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Syarif</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Hidayatullah’ta</w:t>
      </w:r>
      <w:proofErr w:type="spellEnd"/>
      <w:r w:rsidR="009F5A59" w:rsidRPr="00D212EE">
        <w:rPr>
          <w:rFonts w:asciiTheme="majorBidi" w:hAnsiTheme="majorBidi" w:cstheme="majorBidi"/>
          <w:sz w:val="24"/>
          <w:szCs w:val="24"/>
        </w:rPr>
        <w:t xml:space="preserve"> sürdüren </w:t>
      </w:r>
      <w:proofErr w:type="spellStart"/>
      <w:r w:rsidRPr="00D212EE">
        <w:rPr>
          <w:rFonts w:asciiTheme="majorBidi" w:hAnsiTheme="majorBidi" w:cstheme="majorBidi"/>
          <w:sz w:val="24"/>
          <w:szCs w:val="24"/>
        </w:rPr>
        <w:t>Mâcid</w:t>
      </w:r>
      <w:proofErr w:type="spellEnd"/>
      <w:r w:rsidR="009F5A59" w:rsidRPr="00D212EE">
        <w:rPr>
          <w:rFonts w:asciiTheme="majorBidi" w:hAnsiTheme="majorBidi" w:cstheme="majorBidi"/>
          <w:sz w:val="24"/>
          <w:szCs w:val="24"/>
        </w:rPr>
        <w:t xml:space="preserve">, 1968 yılında Arap Dili ve İslam Düşünce Tarihi alanında lisans derecesini almıştır. Akademik yetkinliği ve giderek artan entelektüel görünürlüğü, onu doktora </w:t>
      </w:r>
      <w:r w:rsidR="009F5A59" w:rsidRPr="00D212EE">
        <w:rPr>
          <w:rFonts w:asciiTheme="majorBidi" w:hAnsiTheme="majorBidi" w:cstheme="majorBidi"/>
          <w:sz w:val="24"/>
          <w:szCs w:val="24"/>
        </w:rPr>
        <w:lastRenderedPageBreak/>
        <w:t xml:space="preserve">çalışmaları için Amerika Birleşik Devletleri’ne yöneltmiştir. Chicago Üniversitesi’nde, İslami Neo-Modernizmin önde gelen isimlerinden </w:t>
      </w:r>
      <w:proofErr w:type="spellStart"/>
      <w:r w:rsidR="009F5A59" w:rsidRPr="00D212EE">
        <w:rPr>
          <w:rFonts w:asciiTheme="majorBidi" w:hAnsiTheme="majorBidi" w:cstheme="majorBidi"/>
          <w:sz w:val="24"/>
          <w:szCs w:val="24"/>
        </w:rPr>
        <w:t>Fazlur</w:t>
      </w:r>
      <w:proofErr w:type="spellEnd"/>
      <w:r w:rsidR="009F5A59" w:rsidRPr="00D212EE">
        <w:rPr>
          <w:rFonts w:asciiTheme="majorBidi" w:hAnsiTheme="majorBidi" w:cstheme="majorBidi"/>
          <w:sz w:val="24"/>
          <w:szCs w:val="24"/>
        </w:rPr>
        <w:t xml:space="preserve"> Rahman’ın danışmanlığında 1978–1984 yılları arasında doktora eğitimini tamamlamıştır. İbn </w:t>
      </w:r>
      <w:proofErr w:type="spellStart"/>
      <w:r w:rsidR="009F5A59" w:rsidRPr="00D212EE">
        <w:rPr>
          <w:rFonts w:asciiTheme="majorBidi" w:hAnsiTheme="majorBidi" w:cstheme="majorBidi"/>
          <w:sz w:val="24"/>
          <w:szCs w:val="24"/>
        </w:rPr>
        <w:t>Teymiyye’nin</w:t>
      </w:r>
      <w:proofErr w:type="spellEnd"/>
      <w:r w:rsidR="009F5A59" w:rsidRPr="00D212EE">
        <w:rPr>
          <w:rFonts w:asciiTheme="majorBidi" w:hAnsiTheme="majorBidi" w:cstheme="majorBidi"/>
          <w:sz w:val="24"/>
          <w:szCs w:val="24"/>
        </w:rPr>
        <w:t xml:space="preserve"> akıl–vahiy ilişkisine dair görüşlerini ele alan doktora tezi, </w:t>
      </w: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klasik İslam düşüncesini çağdaş epistemolojik ve etik sorunlar ışığında yeniden yorumlama çabasını açıkça yansıtmaktadır</w:t>
      </w:r>
      <w:r w:rsidR="009351BA" w:rsidRPr="00D212EE">
        <w:rPr>
          <w:rStyle w:val="FootnoteReference"/>
          <w:rFonts w:asciiTheme="majorBidi" w:hAnsiTheme="majorBidi" w:cstheme="majorBidi"/>
          <w:sz w:val="24"/>
          <w:szCs w:val="24"/>
        </w:rPr>
        <w:footnoteReference w:id="10"/>
      </w:r>
      <w:r w:rsidR="009F5A59" w:rsidRPr="00D212EE">
        <w:rPr>
          <w:rFonts w:asciiTheme="majorBidi" w:hAnsiTheme="majorBidi" w:cstheme="majorBidi"/>
          <w:sz w:val="24"/>
          <w:szCs w:val="24"/>
        </w:rPr>
        <w:t>.</w:t>
      </w:r>
    </w:p>
    <w:p w14:paraId="7819AB2E" w14:textId="5D4E1FEA" w:rsidR="00CA65E7"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9F5A59" w:rsidRPr="00D212EE">
        <w:rPr>
          <w:rFonts w:asciiTheme="majorBidi" w:hAnsiTheme="majorBidi" w:cstheme="majorBidi"/>
          <w:sz w:val="24"/>
          <w:szCs w:val="24"/>
        </w:rPr>
        <w:t>’in</w:t>
      </w:r>
      <w:proofErr w:type="spellEnd"/>
      <w:r w:rsidR="009F5A59" w:rsidRPr="00D212EE">
        <w:rPr>
          <w:rFonts w:asciiTheme="majorBidi" w:hAnsiTheme="majorBidi" w:cstheme="majorBidi"/>
          <w:sz w:val="24"/>
          <w:szCs w:val="24"/>
        </w:rPr>
        <w:t xml:space="preserve"> etkisi akademik alanla sınırlı kalmamıştır. Öğrencilik yıllarında İslami öğrenci hareketlerinde öne çıkan bir lider olarak tanınmıştır. 1966–1971 yılları arasında </w:t>
      </w:r>
      <w:proofErr w:type="spellStart"/>
      <w:r w:rsidR="009351BA" w:rsidRPr="00D212EE">
        <w:rPr>
          <w:rFonts w:asciiTheme="majorBidi" w:hAnsiTheme="majorBidi" w:cstheme="majorBidi"/>
          <w:sz w:val="24"/>
          <w:szCs w:val="24"/>
        </w:rPr>
        <w:t>Himpunan</w:t>
      </w:r>
      <w:proofErr w:type="spellEnd"/>
      <w:r w:rsidR="009351BA" w:rsidRPr="00D212EE">
        <w:rPr>
          <w:rFonts w:asciiTheme="majorBidi" w:hAnsiTheme="majorBidi" w:cstheme="majorBidi"/>
          <w:sz w:val="24"/>
          <w:szCs w:val="24"/>
        </w:rPr>
        <w:t xml:space="preserve"> </w:t>
      </w:r>
      <w:proofErr w:type="spellStart"/>
      <w:r w:rsidR="009351BA" w:rsidRPr="00D212EE">
        <w:rPr>
          <w:rFonts w:asciiTheme="majorBidi" w:hAnsiTheme="majorBidi" w:cstheme="majorBidi"/>
          <w:sz w:val="24"/>
          <w:szCs w:val="24"/>
        </w:rPr>
        <w:t>Mahasiswa</w:t>
      </w:r>
      <w:proofErr w:type="spellEnd"/>
      <w:r w:rsidR="009351BA" w:rsidRPr="00D212EE">
        <w:rPr>
          <w:rFonts w:asciiTheme="majorBidi" w:hAnsiTheme="majorBidi" w:cstheme="majorBidi"/>
          <w:sz w:val="24"/>
          <w:szCs w:val="24"/>
        </w:rPr>
        <w:t xml:space="preserve"> İslam’ın</w:t>
      </w:r>
      <w:r w:rsidR="009351BA" w:rsidRPr="00D212EE">
        <w:rPr>
          <w:rStyle w:val="FootnoteReference"/>
          <w:rFonts w:asciiTheme="majorBidi" w:hAnsiTheme="majorBidi" w:cstheme="majorBidi"/>
          <w:sz w:val="24"/>
          <w:szCs w:val="24"/>
        </w:rPr>
        <w:footnoteReference w:id="11"/>
      </w:r>
      <w:r w:rsidR="00E23184" w:rsidRPr="00D212EE">
        <w:rPr>
          <w:rFonts w:asciiTheme="majorBidi" w:hAnsiTheme="majorBidi" w:cstheme="majorBidi"/>
          <w:sz w:val="24"/>
          <w:szCs w:val="24"/>
        </w:rPr>
        <w:t>(HMI)</w:t>
      </w:r>
      <w:r w:rsidR="009F5A59" w:rsidRPr="00D212EE">
        <w:rPr>
          <w:rFonts w:asciiTheme="majorBidi" w:hAnsiTheme="majorBidi" w:cstheme="majorBidi"/>
          <w:sz w:val="24"/>
          <w:szCs w:val="24"/>
        </w:rPr>
        <w:t xml:space="preserve"> iki dönem üst üste genel başkanlığını yapması, örgütün tarihinde nadir görülen bir durumdur. Onun liderliğinde HMI, ideolojik katılıktan uzaklaşarak daha kapsayıcı ve entelektüel açıdan açık bir İslam anlayışını benimsemiştir. Aynı zamanda</w:t>
      </w:r>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Persatuan</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Mahasiswa</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Islam</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Asia</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Tenggara</w:t>
      </w:r>
      <w:proofErr w:type="spellEnd"/>
      <w:r w:rsidR="00CB537B" w:rsidRPr="00D212EE">
        <w:rPr>
          <w:rStyle w:val="FootnoteReference"/>
          <w:rFonts w:asciiTheme="majorBidi" w:hAnsiTheme="majorBidi" w:cstheme="majorBidi"/>
          <w:sz w:val="24"/>
          <w:szCs w:val="24"/>
        </w:rPr>
        <w:footnoteReference w:id="12"/>
      </w:r>
      <w:r w:rsidR="009F5A59" w:rsidRPr="00D212EE">
        <w:rPr>
          <w:rFonts w:asciiTheme="majorBidi" w:hAnsiTheme="majorBidi" w:cstheme="majorBidi"/>
          <w:sz w:val="24"/>
          <w:szCs w:val="24"/>
        </w:rPr>
        <w:t xml:space="preserve"> </w:t>
      </w:r>
      <w:r w:rsidR="00CB537B" w:rsidRPr="00D212EE">
        <w:rPr>
          <w:rFonts w:asciiTheme="majorBidi" w:hAnsiTheme="majorBidi" w:cstheme="majorBidi"/>
          <w:sz w:val="24"/>
          <w:szCs w:val="24"/>
        </w:rPr>
        <w:t>(</w:t>
      </w:r>
      <w:r w:rsidR="009F5A59" w:rsidRPr="00D212EE">
        <w:rPr>
          <w:rFonts w:asciiTheme="majorBidi" w:hAnsiTheme="majorBidi" w:cstheme="majorBidi"/>
          <w:sz w:val="24"/>
          <w:szCs w:val="24"/>
        </w:rPr>
        <w:t>PEMIAT</w:t>
      </w:r>
      <w:r w:rsidR="00CB537B" w:rsidRPr="00D212EE">
        <w:rPr>
          <w:rFonts w:asciiTheme="majorBidi" w:hAnsiTheme="majorBidi" w:cstheme="majorBidi"/>
          <w:sz w:val="24"/>
          <w:szCs w:val="24"/>
        </w:rPr>
        <w:t>)</w:t>
      </w:r>
      <w:r w:rsidR="009F5A59" w:rsidRPr="00D212EE">
        <w:rPr>
          <w:rFonts w:asciiTheme="majorBidi" w:hAnsiTheme="majorBidi" w:cstheme="majorBidi"/>
          <w:sz w:val="24"/>
          <w:szCs w:val="24"/>
        </w:rPr>
        <w:t xml:space="preserve"> ve </w:t>
      </w:r>
      <w:r w:rsidR="00CB537B" w:rsidRPr="00D212EE">
        <w:rPr>
          <w:rFonts w:asciiTheme="majorBidi" w:hAnsiTheme="majorBidi" w:cstheme="majorBidi"/>
          <w:sz w:val="24"/>
          <w:szCs w:val="24"/>
        </w:rPr>
        <w:t xml:space="preserve">International </w:t>
      </w:r>
      <w:proofErr w:type="spellStart"/>
      <w:r w:rsidR="00CB537B" w:rsidRPr="00D212EE">
        <w:rPr>
          <w:rFonts w:asciiTheme="majorBidi" w:hAnsiTheme="majorBidi" w:cstheme="majorBidi"/>
          <w:sz w:val="24"/>
          <w:szCs w:val="24"/>
        </w:rPr>
        <w:t>Islamic</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Federation</w:t>
      </w:r>
      <w:proofErr w:type="spellEnd"/>
      <w:r w:rsidR="00CB537B" w:rsidRPr="00D212EE">
        <w:rPr>
          <w:rFonts w:asciiTheme="majorBidi" w:hAnsiTheme="majorBidi" w:cstheme="majorBidi"/>
          <w:sz w:val="24"/>
          <w:szCs w:val="24"/>
        </w:rPr>
        <w:t xml:space="preserve"> of </w:t>
      </w:r>
      <w:proofErr w:type="spellStart"/>
      <w:r w:rsidR="00CB537B" w:rsidRPr="00D212EE">
        <w:rPr>
          <w:rFonts w:asciiTheme="majorBidi" w:hAnsiTheme="majorBidi" w:cstheme="majorBidi"/>
          <w:sz w:val="24"/>
          <w:szCs w:val="24"/>
        </w:rPr>
        <w:t>Student</w:t>
      </w:r>
      <w:proofErr w:type="spellEnd"/>
      <w:r w:rsidR="00CB537B" w:rsidRPr="00D212EE">
        <w:rPr>
          <w:rFonts w:asciiTheme="majorBidi" w:hAnsiTheme="majorBidi" w:cstheme="majorBidi"/>
          <w:sz w:val="24"/>
          <w:szCs w:val="24"/>
        </w:rPr>
        <w:t xml:space="preserve"> </w:t>
      </w:r>
      <w:proofErr w:type="spellStart"/>
      <w:r w:rsidR="00CB537B" w:rsidRPr="00D212EE">
        <w:rPr>
          <w:rFonts w:asciiTheme="majorBidi" w:hAnsiTheme="majorBidi" w:cstheme="majorBidi"/>
          <w:sz w:val="24"/>
          <w:szCs w:val="24"/>
        </w:rPr>
        <w:t>Organizations</w:t>
      </w:r>
      <w:proofErr w:type="spellEnd"/>
      <w:r w:rsidR="00CB537B" w:rsidRPr="00D212EE">
        <w:rPr>
          <w:rStyle w:val="FootnoteReference"/>
          <w:rFonts w:asciiTheme="majorBidi" w:hAnsiTheme="majorBidi" w:cstheme="majorBidi"/>
          <w:sz w:val="24"/>
          <w:szCs w:val="24"/>
        </w:rPr>
        <w:footnoteReference w:id="13"/>
      </w:r>
      <w:r w:rsidR="00CB537B" w:rsidRPr="00D212EE">
        <w:rPr>
          <w:rFonts w:asciiTheme="majorBidi" w:hAnsiTheme="majorBidi" w:cstheme="majorBidi"/>
          <w:sz w:val="24"/>
          <w:szCs w:val="24"/>
        </w:rPr>
        <w:t xml:space="preserve"> </w:t>
      </w:r>
      <w:r w:rsidR="009F5A59" w:rsidRPr="00D212EE">
        <w:rPr>
          <w:rFonts w:asciiTheme="majorBidi" w:hAnsiTheme="majorBidi" w:cstheme="majorBidi"/>
          <w:sz w:val="24"/>
          <w:szCs w:val="24"/>
        </w:rPr>
        <w:t xml:space="preserve">(IIFSO) gibi kuruluşlarda görev alarak küresel bir perspektif kazanmıştır. Akademik kariyerinde </w:t>
      </w:r>
      <w:proofErr w:type="spellStart"/>
      <w:r w:rsidR="00CA65E7" w:rsidRPr="00D212EE">
        <w:rPr>
          <w:rFonts w:asciiTheme="majorBidi" w:hAnsiTheme="majorBidi" w:cstheme="majorBidi"/>
          <w:sz w:val="24"/>
          <w:szCs w:val="24"/>
        </w:rPr>
        <w:t>Lembaga</w:t>
      </w:r>
      <w:proofErr w:type="spellEnd"/>
      <w:r w:rsidR="00CA65E7" w:rsidRPr="00D212EE">
        <w:rPr>
          <w:rFonts w:asciiTheme="majorBidi" w:hAnsiTheme="majorBidi" w:cstheme="majorBidi"/>
          <w:sz w:val="24"/>
          <w:szCs w:val="24"/>
        </w:rPr>
        <w:t xml:space="preserve"> </w:t>
      </w:r>
      <w:proofErr w:type="spellStart"/>
      <w:r w:rsidR="00CA65E7" w:rsidRPr="00D212EE">
        <w:rPr>
          <w:rFonts w:asciiTheme="majorBidi" w:hAnsiTheme="majorBidi" w:cstheme="majorBidi"/>
          <w:sz w:val="24"/>
          <w:szCs w:val="24"/>
        </w:rPr>
        <w:t>Ilmu</w:t>
      </w:r>
      <w:proofErr w:type="spellEnd"/>
      <w:r w:rsidR="00CA65E7" w:rsidRPr="00D212EE">
        <w:rPr>
          <w:rFonts w:asciiTheme="majorBidi" w:hAnsiTheme="majorBidi" w:cstheme="majorBidi"/>
          <w:sz w:val="24"/>
          <w:szCs w:val="24"/>
        </w:rPr>
        <w:t xml:space="preserve"> </w:t>
      </w:r>
      <w:proofErr w:type="spellStart"/>
      <w:r w:rsidR="00CA65E7" w:rsidRPr="00D212EE">
        <w:rPr>
          <w:rFonts w:asciiTheme="majorBidi" w:hAnsiTheme="majorBidi" w:cstheme="majorBidi"/>
          <w:sz w:val="24"/>
          <w:szCs w:val="24"/>
        </w:rPr>
        <w:t>Pengetahuan</w:t>
      </w:r>
      <w:proofErr w:type="spellEnd"/>
      <w:r w:rsidR="00CA65E7" w:rsidRPr="00D212EE">
        <w:rPr>
          <w:rFonts w:asciiTheme="majorBidi" w:hAnsiTheme="majorBidi" w:cstheme="majorBidi"/>
          <w:sz w:val="24"/>
          <w:szCs w:val="24"/>
        </w:rPr>
        <w:t xml:space="preserve"> </w:t>
      </w:r>
      <w:proofErr w:type="spellStart"/>
      <w:r w:rsidR="00CA65E7" w:rsidRPr="00D212EE">
        <w:rPr>
          <w:rFonts w:asciiTheme="majorBidi" w:hAnsiTheme="majorBidi" w:cstheme="majorBidi"/>
          <w:sz w:val="24"/>
          <w:szCs w:val="24"/>
        </w:rPr>
        <w:t>Indonesia</w:t>
      </w:r>
      <w:r w:rsidR="009F5A59" w:rsidRPr="00D212EE">
        <w:rPr>
          <w:rFonts w:asciiTheme="majorBidi" w:hAnsiTheme="majorBidi" w:cstheme="majorBidi"/>
          <w:sz w:val="24"/>
          <w:szCs w:val="24"/>
        </w:rPr>
        <w:t>’</w:t>
      </w:r>
      <w:r w:rsidR="00CA65E7" w:rsidRPr="00D212EE">
        <w:rPr>
          <w:rFonts w:asciiTheme="majorBidi" w:hAnsiTheme="majorBidi" w:cstheme="majorBidi"/>
          <w:sz w:val="24"/>
          <w:szCs w:val="24"/>
        </w:rPr>
        <w:t>da</w:t>
      </w:r>
      <w:proofErr w:type="spellEnd"/>
      <w:r w:rsidR="00CA65E7" w:rsidRPr="00D212EE">
        <w:rPr>
          <w:rStyle w:val="FootnoteReference"/>
          <w:rFonts w:asciiTheme="majorBidi" w:hAnsiTheme="majorBidi" w:cstheme="majorBidi"/>
          <w:sz w:val="24"/>
          <w:szCs w:val="24"/>
        </w:rPr>
        <w:footnoteReference w:id="14"/>
      </w:r>
      <w:r w:rsidR="009F5A59" w:rsidRPr="00D212EE">
        <w:rPr>
          <w:rFonts w:asciiTheme="majorBidi" w:hAnsiTheme="majorBidi" w:cstheme="majorBidi"/>
          <w:sz w:val="24"/>
          <w:szCs w:val="24"/>
        </w:rPr>
        <w:t xml:space="preserve"> (LIPI) kıdemli araştırmacı olarak çalışmış, ardından </w:t>
      </w:r>
      <w:r w:rsidR="00CB537B" w:rsidRPr="00D212EE">
        <w:rPr>
          <w:rFonts w:asciiTheme="majorBidi" w:hAnsiTheme="majorBidi" w:cstheme="majorBidi"/>
          <w:sz w:val="24"/>
          <w:szCs w:val="24"/>
        </w:rPr>
        <w:t>IAIN</w:t>
      </w:r>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Syarif</w:t>
      </w:r>
      <w:proofErr w:type="spellEnd"/>
      <w:r w:rsidR="009F5A59" w:rsidRPr="00D212EE">
        <w:rPr>
          <w:rFonts w:asciiTheme="majorBidi" w:hAnsiTheme="majorBidi" w:cstheme="majorBidi"/>
          <w:sz w:val="24"/>
          <w:szCs w:val="24"/>
        </w:rPr>
        <w:t xml:space="preserve"> </w:t>
      </w:r>
      <w:proofErr w:type="spellStart"/>
      <w:r w:rsidR="009F5A59" w:rsidRPr="00D212EE">
        <w:rPr>
          <w:rFonts w:asciiTheme="majorBidi" w:hAnsiTheme="majorBidi" w:cstheme="majorBidi"/>
          <w:sz w:val="24"/>
          <w:szCs w:val="24"/>
        </w:rPr>
        <w:t>Hidayatullah</w:t>
      </w:r>
      <w:proofErr w:type="spellEnd"/>
      <w:r w:rsidR="009F5A59" w:rsidRPr="00D212EE">
        <w:rPr>
          <w:rFonts w:asciiTheme="majorBidi" w:hAnsiTheme="majorBidi" w:cstheme="majorBidi"/>
          <w:sz w:val="24"/>
          <w:szCs w:val="24"/>
        </w:rPr>
        <w:t xml:space="preserve"> Jakarta’da profesörlük yapmıştır.</w:t>
      </w:r>
      <w:r w:rsidR="00D91EC5" w:rsidRPr="00D212EE">
        <w:rPr>
          <w:rStyle w:val="FootnoteReference"/>
          <w:rFonts w:asciiTheme="majorBidi" w:hAnsiTheme="majorBidi" w:cstheme="majorBidi"/>
          <w:sz w:val="24"/>
          <w:szCs w:val="24"/>
        </w:rPr>
        <w:footnoteReference w:id="15"/>
      </w:r>
      <w:r w:rsidR="009F5A59" w:rsidRPr="00D212EE">
        <w:rPr>
          <w:rFonts w:asciiTheme="majorBidi" w:hAnsiTheme="majorBidi" w:cstheme="majorBidi"/>
          <w:sz w:val="24"/>
          <w:szCs w:val="24"/>
        </w:rPr>
        <w:t xml:space="preserve"> </w:t>
      </w:r>
      <w:r w:rsidR="00E2273E">
        <w:rPr>
          <w:rFonts w:asciiTheme="majorBidi" w:hAnsiTheme="majorBidi" w:cstheme="majorBidi"/>
          <w:sz w:val="24"/>
          <w:szCs w:val="24"/>
        </w:rPr>
        <w:t>Hem eğitim hayat</w:t>
      </w:r>
      <w:r w:rsidR="00597A56">
        <w:rPr>
          <w:rFonts w:asciiTheme="majorBidi" w:hAnsiTheme="majorBidi" w:cstheme="majorBidi"/>
          <w:sz w:val="24"/>
          <w:szCs w:val="24"/>
        </w:rPr>
        <w:t>ı</w:t>
      </w:r>
      <w:r w:rsidR="00E2273E">
        <w:rPr>
          <w:rFonts w:asciiTheme="majorBidi" w:hAnsiTheme="majorBidi" w:cstheme="majorBidi"/>
          <w:sz w:val="24"/>
          <w:szCs w:val="24"/>
        </w:rPr>
        <w:t xml:space="preserve"> hem de politika hayatı yan yana devam ettiği için d</w:t>
      </w:r>
      <w:r w:rsidR="009F5A59" w:rsidRPr="00D212EE">
        <w:rPr>
          <w:rFonts w:asciiTheme="majorBidi" w:hAnsiTheme="majorBidi" w:cstheme="majorBidi"/>
          <w:sz w:val="24"/>
          <w:szCs w:val="24"/>
        </w:rPr>
        <w:t xml:space="preserve">ersleri ve yayımları, öğrencilerden bürokratlara kadar geniş bir kesim üzerinde etkili olmuştur. Düşüncesinin merkezinde tevhid, yalnızca teolojik bir ilke değil; toplumsal adalet, entelektüel özgürlük ve insan onurunun etik temeli olarak konumlandırılmıştır. </w:t>
      </w:r>
    </w:p>
    <w:p w14:paraId="54A5DEAA" w14:textId="5530AA45" w:rsidR="00B00906" w:rsidRPr="00D212EE" w:rsidRDefault="009F5A59"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1986 yılında kurucu ortaklarından biri olduğu </w:t>
      </w:r>
      <w:proofErr w:type="spellStart"/>
      <w:r w:rsidRPr="00D212EE">
        <w:rPr>
          <w:rFonts w:asciiTheme="majorBidi" w:hAnsiTheme="majorBidi" w:cstheme="majorBidi"/>
          <w:sz w:val="24"/>
          <w:szCs w:val="24"/>
        </w:rPr>
        <w:t>Paramadina</w:t>
      </w:r>
      <w:proofErr w:type="spellEnd"/>
      <w:r w:rsidRPr="00D212EE">
        <w:rPr>
          <w:rFonts w:asciiTheme="majorBidi" w:hAnsiTheme="majorBidi" w:cstheme="majorBidi"/>
          <w:sz w:val="24"/>
          <w:szCs w:val="24"/>
        </w:rPr>
        <w:t xml:space="preserve"> Vakfı, özellikle kentsel orta sınıfa yönelik olarak kapsayıcı, ilerici ve kültürel açıdan köklü bir İslam anlayışını yaymayı amaçlamıştır. 1998 yılında </w:t>
      </w:r>
      <w:proofErr w:type="spellStart"/>
      <w:r w:rsidRPr="00D212EE">
        <w:rPr>
          <w:rFonts w:asciiTheme="majorBidi" w:hAnsiTheme="majorBidi" w:cstheme="majorBidi"/>
          <w:sz w:val="24"/>
          <w:szCs w:val="24"/>
        </w:rPr>
        <w:t>Paramadina</w:t>
      </w:r>
      <w:proofErr w:type="spellEnd"/>
      <w:r w:rsidRPr="00D212EE">
        <w:rPr>
          <w:rFonts w:asciiTheme="majorBidi" w:hAnsiTheme="majorBidi" w:cstheme="majorBidi"/>
          <w:sz w:val="24"/>
          <w:szCs w:val="24"/>
        </w:rPr>
        <w:t xml:space="preserve"> Üniversitesi’nin ilk rektörü olarak göreve başlaması, bu vizyonun kurumsal bir yapıya kavuşmasını sağlamıştır</w:t>
      </w:r>
      <w:r w:rsidR="00380191" w:rsidRPr="00D212EE">
        <w:rPr>
          <w:rStyle w:val="FootnoteReference"/>
          <w:rFonts w:asciiTheme="majorBidi" w:hAnsiTheme="majorBidi" w:cstheme="majorBidi"/>
          <w:sz w:val="24"/>
          <w:szCs w:val="24"/>
        </w:rPr>
        <w:footnoteReference w:id="16"/>
      </w:r>
      <w:r w:rsidRPr="00D212EE">
        <w:rPr>
          <w:rFonts w:asciiTheme="majorBidi" w:hAnsiTheme="majorBidi" w:cstheme="majorBidi"/>
          <w:sz w:val="24"/>
          <w:szCs w:val="24"/>
        </w:rPr>
        <w:t>.</w:t>
      </w:r>
    </w:p>
    <w:p w14:paraId="7482206E" w14:textId="7585E848" w:rsidR="005E450C"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Nurhâlis</w:t>
      </w:r>
      <w:proofErr w:type="spellEnd"/>
      <w:r w:rsidR="00634DFE"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proofErr w:type="spellEnd"/>
      <w:r w:rsidR="00634DFE" w:rsidRPr="00D212EE">
        <w:rPr>
          <w:rFonts w:asciiTheme="majorBidi" w:hAnsiTheme="majorBidi" w:cstheme="majorBidi"/>
          <w:sz w:val="24"/>
          <w:szCs w:val="24"/>
        </w:rPr>
        <w:t xml:space="preserve">, 29 Ağustos 2005 tarihinde Endonezya’nın başkenti Jakarta’da, 66 yaşında hayatını kaybetmiştir. Uzun yıllar boyunca Hepatit hastalığıyla mücadele eden </w:t>
      </w:r>
      <w:proofErr w:type="spellStart"/>
      <w:r w:rsidRPr="00D212EE">
        <w:rPr>
          <w:rFonts w:asciiTheme="majorBidi" w:hAnsiTheme="majorBidi" w:cstheme="majorBidi"/>
          <w:sz w:val="24"/>
          <w:szCs w:val="24"/>
        </w:rPr>
        <w:t>Mâcid</w:t>
      </w:r>
      <w:r w:rsidR="00634DFE" w:rsidRPr="00D212EE">
        <w:rPr>
          <w:rFonts w:asciiTheme="majorBidi" w:hAnsiTheme="majorBidi" w:cstheme="majorBidi"/>
          <w:sz w:val="24"/>
          <w:szCs w:val="24"/>
        </w:rPr>
        <w:t>’in</w:t>
      </w:r>
      <w:proofErr w:type="spellEnd"/>
      <w:r w:rsidR="00634DFE" w:rsidRPr="00D212EE">
        <w:rPr>
          <w:rFonts w:asciiTheme="majorBidi" w:hAnsiTheme="majorBidi" w:cstheme="majorBidi"/>
          <w:sz w:val="24"/>
          <w:szCs w:val="24"/>
        </w:rPr>
        <w:t xml:space="preserve"> sağlık </w:t>
      </w:r>
      <w:r w:rsidR="00634DFE" w:rsidRPr="00D212EE">
        <w:rPr>
          <w:rFonts w:asciiTheme="majorBidi" w:hAnsiTheme="majorBidi" w:cstheme="majorBidi"/>
          <w:sz w:val="24"/>
          <w:szCs w:val="24"/>
        </w:rPr>
        <w:lastRenderedPageBreak/>
        <w:t xml:space="preserve">durumu zamanla ağırlaşmış; hastalığın yol açtığı komplikasyonlar neticesinde kalp ve böbrek yetmezliği gelişmiştir. Ölümü, yalnızca Endonezya Müslümanları için değil, aynı zamanda çağdaş İslam düşüncesiyle ilgilenen uluslararası akademik çevreler için de önemli bir kayıp olarak değerlendirilmiştir. Devlete, topluma ve entelektüel hayata sunduğu üstün katkılar dolayısıyla </w:t>
      </w:r>
      <w:proofErr w:type="spellStart"/>
      <w:r w:rsidRPr="00D212EE">
        <w:rPr>
          <w:rFonts w:asciiTheme="majorBidi" w:hAnsiTheme="majorBidi" w:cstheme="majorBidi"/>
          <w:sz w:val="24"/>
          <w:szCs w:val="24"/>
        </w:rPr>
        <w:t>Mâcid</w:t>
      </w:r>
      <w:r w:rsidR="00634DFE" w:rsidRPr="00D212EE">
        <w:rPr>
          <w:rFonts w:asciiTheme="majorBidi" w:hAnsiTheme="majorBidi" w:cstheme="majorBidi"/>
          <w:sz w:val="24"/>
          <w:szCs w:val="24"/>
        </w:rPr>
        <w:t>’e</w:t>
      </w:r>
      <w:proofErr w:type="spellEnd"/>
      <w:r w:rsidR="00634DFE" w:rsidRPr="00D212EE">
        <w:rPr>
          <w:rFonts w:asciiTheme="majorBidi" w:hAnsiTheme="majorBidi" w:cstheme="majorBidi"/>
          <w:sz w:val="24"/>
          <w:szCs w:val="24"/>
        </w:rPr>
        <w:t xml:space="preserve"> devlet töreni düzenlenmiş ve naaşı Jakarta’daki </w:t>
      </w:r>
      <w:proofErr w:type="spellStart"/>
      <w:r w:rsidR="00634DFE" w:rsidRPr="00D212EE">
        <w:rPr>
          <w:rFonts w:asciiTheme="majorBidi" w:hAnsiTheme="majorBidi" w:cstheme="majorBidi"/>
          <w:sz w:val="24"/>
          <w:szCs w:val="24"/>
        </w:rPr>
        <w:t>Kalibata</w:t>
      </w:r>
      <w:proofErr w:type="spellEnd"/>
      <w:r w:rsidR="00634DFE" w:rsidRPr="00D212EE">
        <w:rPr>
          <w:rFonts w:asciiTheme="majorBidi" w:hAnsiTheme="majorBidi" w:cstheme="majorBidi"/>
          <w:sz w:val="24"/>
          <w:szCs w:val="24"/>
        </w:rPr>
        <w:t xml:space="preserve"> Ulusal Kahramanlar Mezarlığı’na defnedilmiştir</w:t>
      </w:r>
      <w:r w:rsidR="00D658F2" w:rsidRPr="00D212EE">
        <w:rPr>
          <w:rStyle w:val="FootnoteReference"/>
          <w:rFonts w:asciiTheme="majorBidi" w:hAnsiTheme="majorBidi" w:cstheme="majorBidi"/>
          <w:sz w:val="24"/>
          <w:szCs w:val="24"/>
        </w:rPr>
        <w:footnoteReference w:id="17"/>
      </w:r>
      <w:r w:rsidR="00634DFE" w:rsidRPr="00D212EE">
        <w:rPr>
          <w:rFonts w:asciiTheme="majorBidi" w:hAnsiTheme="majorBidi" w:cstheme="majorBidi"/>
          <w:sz w:val="24"/>
          <w:szCs w:val="24"/>
        </w:rPr>
        <w:t xml:space="preserve">. </w:t>
      </w:r>
    </w:p>
    <w:p w14:paraId="46015F07" w14:textId="35B01EF6" w:rsidR="009F5A59" w:rsidRPr="00D212EE" w:rsidRDefault="004356DC" w:rsidP="00FE6A96">
      <w:pPr>
        <w:pStyle w:val="Heading2"/>
        <w:spacing w:line="360" w:lineRule="auto"/>
        <w:jc w:val="both"/>
        <w:rPr>
          <w:szCs w:val="28"/>
        </w:rPr>
      </w:pPr>
      <w:bookmarkStart w:id="9" w:name="_Toc218886224"/>
      <w:bookmarkStart w:id="10" w:name="_Toc218901284"/>
      <w:bookmarkStart w:id="11" w:name="_Toc219409245"/>
      <w:proofErr w:type="spellStart"/>
      <w:r w:rsidRPr="00D212EE">
        <w:rPr>
          <w:szCs w:val="28"/>
        </w:rPr>
        <w:t>Fazlur</w:t>
      </w:r>
      <w:proofErr w:type="spellEnd"/>
      <w:r w:rsidR="00174D0D" w:rsidRPr="00D212EE">
        <w:rPr>
          <w:szCs w:val="28"/>
        </w:rPr>
        <w:t xml:space="preserve"> Rahman’ın </w:t>
      </w:r>
      <w:proofErr w:type="spellStart"/>
      <w:r w:rsidR="00031206" w:rsidRPr="00D212EE">
        <w:rPr>
          <w:szCs w:val="28"/>
        </w:rPr>
        <w:t>Nurhâlis</w:t>
      </w:r>
      <w:proofErr w:type="spellEnd"/>
      <w:r w:rsidR="00174D0D" w:rsidRPr="00D212EE">
        <w:rPr>
          <w:szCs w:val="28"/>
        </w:rPr>
        <w:t xml:space="preserve"> </w:t>
      </w:r>
      <w:proofErr w:type="spellStart"/>
      <w:r w:rsidR="00031206" w:rsidRPr="00D212EE">
        <w:rPr>
          <w:szCs w:val="28"/>
        </w:rPr>
        <w:t>Mâcid</w:t>
      </w:r>
      <w:proofErr w:type="spellEnd"/>
      <w:r w:rsidR="00174D0D" w:rsidRPr="00D212EE">
        <w:rPr>
          <w:szCs w:val="28"/>
        </w:rPr>
        <w:t xml:space="preserve"> Üzerindeki Etkisi</w:t>
      </w:r>
      <w:bookmarkEnd w:id="9"/>
      <w:bookmarkEnd w:id="10"/>
      <w:bookmarkEnd w:id="11"/>
    </w:p>
    <w:p w14:paraId="3108EF0C" w14:textId="57C69362" w:rsidR="005E450C" w:rsidRPr="00D212EE" w:rsidRDefault="001B4B89"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Fazlur</w:t>
      </w:r>
      <w:proofErr w:type="spellEnd"/>
      <w:r w:rsidRPr="00D212EE">
        <w:rPr>
          <w:rFonts w:asciiTheme="majorBidi" w:hAnsiTheme="majorBidi" w:cstheme="majorBidi"/>
          <w:sz w:val="24"/>
          <w:szCs w:val="24"/>
        </w:rPr>
        <w:t xml:space="preserve"> Rahman’ın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üzerindeki etkisi, yalnızca bir danışman–öğrenci ilişkisiyle sınırlı kalmamış;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entelektüel yöneliminin, metodolojik yaklaşımının ve İslami düşünceye bakışının kurucu unsurlarından biri hâline gelmiştir. Bu etki,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w:t>
      </w:r>
      <w:proofErr w:type="spellEnd"/>
      <w:r w:rsidRPr="00D212EE">
        <w:rPr>
          <w:rFonts w:asciiTheme="majorBidi" w:hAnsiTheme="majorBidi" w:cstheme="majorBidi"/>
          <w:sz w:val="24"/>
          <w:szCs w:val="24"/>
        </w:rPr>
        <w:t xml:space="preserve"> yalnızca aktif bir öğrenci lideri ve kamusal entelektüel olmaktan çıkararak, İslam dünyasında Neo-</w:t>
      </w:r>
      <w:proofErr w:type="spellStart"/>
      <w:r w:rsidRPr="00D212EE">
        <w:rPr>
          <w:rFonts w:asciiTheme="majorBidi" w:hAnsiTheme="majorBidi" w:cstheme="majorBidi"/>
          <w:sz w:val="24"/>
          <w:szCs w:val="24"/>
        </w:rPr>
        <w:t>Modernist</w:t>
      </w:r>
      <w:proofErr w:type="spellEnd"/>
      <w:r w:rsidRPr="00D212EE">
        <w:rPr>
          <w:rFonts w:asciiTheme="majorBidi" w:hAnsiTheme="majorBidi" w:cstheme="majorBidi"/>
          <w:sz w:val="24"/>
          <w:szCs w:val="24"/>
        </w:rPr>
        <w:t xml:space="preserve"> düşüncenin önde gelen temsilcilerinden biri konumuna taşımıştır. Söz konusu ilişkinin doruk noktası,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1978–1984 yılları arasında Chicago Üniversitesi’nde yürüttüğü doktora çalışmaları sırasında ortaya çıkmıştır</w:t>
      </w:r>
      <w:r w:rsidR="00CD2C76" w:rsidRPr="00D212EE">
        <w:rPr>
          <w:rStyle w:val="FootnoteReference"/>
          <w:rFonts w:asciiTheme="majorBidi" w:hAnsiTheme="majorBidi" w:cstheme="majorBidi"/>
          <w:sz w:val="24"/>
          <w:szCs w:val="24"/>
        </w:rPr>
        <w:footnoteReference w:id="18"/>
      </w:r>
      <w:r w:rsidRPr="00D212EE">
        <w:rPr>
          <w:rFonts w:asciiTheme="majorBidi" w:hAnsiTheme="majorBidi" w:cstheme="majorBidi"/>
          <w:sz w:val="24"/>
          <w:szCs w:val="24"/>
        </w:rPr>
        <w:t xml:space="preserve">. Bu dönemde </w:t>
      </w:r>
      <w:proofErr w:type="spellStart"/>
      <w:r w:rsidRPr="00D212EE">
        <w:rPr>
          <w:rFonts w:asciiTheme="majorBidi" w:hAnsiTheme="majorBidi" w:cstheme="majorBidi"/>
          <w:sz w:val="24"/>
          <w:szCs w:val="24"/>
        </w:rPr>
        <w:t>Fazlur</w:t>
      </w:r>
      <w:proofErr w:type="spellEnd"/>
      <w:r w:rsidRPr="00D212EE">
        <w:rPr>
          <w:rFonts w:asciiTheme="majorBidi" w:hAnsiTheme="majorBidi" w:cstheme="majorBidi"/>
          <w:sz w:val="24"/>
          <w:szCs w:val="24"/>
        </w:rPr>
        <w:t xml:space="preserve"> Rahman,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w:t>
      </w:r>
      <w:proofErr w:type="spellEnd"/>
      <w:r w:rsidRPr="00D212EE">
        <w:rPr>
          <w:rFonts w:asciiTheme="majorBidi" w:hAnsiTheme="majorBidi" w:cstheme="majorBidi"/>
          <w:sz w:val="24"/>
          <w:szCs w:val="24"/>
        </w:rPr>
        <w:t xml:space="preserve"> doğrudan ikna ederek akademik yönelimini siyaset biliminden İslam araştırmalarına çevirmesini sağlamış ve böylece onun düşünsel rotasını kalıcı biçimde belirlemiştir.</w:t>
      </w:r>
    </w:p>
    <w:p w14:paraId="2D90C16D" w14:textId="770CFD88" w:rsidR="00374B0D" w:rsidRPr="00D212EE" w:rsidRDefault="001B4B89"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Fazlur</w:t>
      </w:r>
      <w:proofErr w:type="spellEnd"/>
      <w:r w:rsidRPr="00D212EE">
        <w:rPr>
          <w:rFonts w:asciiTheme="majorBidi" w:hAnsiTheme="majorBidi" w:cstheme="majorBidi"/>
          <w:sz w:val="24"/>
          <w:szCs w:val="24"/>
        </w:rPr>
        <w:t xml:space="preserve"> Rahman’ın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’e</w:t>
      </w:r>
      <w:proofErr w:type="spellEnd"/>
      <w:r w:rsidRPr="00D212EE">
        <w:rPr>
          <w:rFonts w:asciiTheme="majorBidi" w:hAnsiTheme="majorBidi" w:cstheme="majorBidi"/>
          <w:sz w:val="24"/>
          <w:szCs w:val="24"/>
        </w:rPr>
        <w:t xml:space="preserve"> kazandırdığı en önemli metodolojik araç, Kur’an yorumuna yönelik geliştirdiği “çifte hareket” (</w:t>
      </w:r>
      <w:proofErr w:type="spellStart"/>
      <w:r w:rsidRPr="00D212EE">
        <w:rPr>
          <w:rFonts w:asciiTheme="majorBidi" w:hAnsiTheme="majorBidi" w:cstheme="majorBidi"/>
          <w:sz w:val="24"/>
          <w:szCs w:val="24"/>
        </w:rPr>
        <w:t>double</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movement</w:t>
      </w:r>
      <w:proofErr w:type="spellEnd"/>
      <w:r w:rsidRPr="00D212EE">
        <w:rPr>
          <w:rFonts w:asciiTheme="majorBidi" w:hAnsiTheme="majorBidi" w:cstheme="majorBidi"/>
          <w:sz w:val="24"/>
          <w:szCs w:val="24"/>
        </w:rPr>
        <w:t>) teorisidir. Bu hermenötik yaklaşım, vahyin tarihsel bağlamını dikkate alan ancak onu tarihselcilikle sınırlamayan dinamik bir yorum modeline dayanmaktadır. Birinci hareket, belirli bir ayetin veya normun nüzul bağlamını, yani ortaya çıktığı tarihsel, toplumsal ve ahlaki koşulları analiz etmeyi amaçlar. Bu aşamada hedef, metnin lafzına takılı kalmak değil; ayetin ardındaki genel ilkeyi ve evrensel ahlaki değeri ortaya çıkarmaktır. İkinci hareket ise, bu evrensel ilkelerin çağdaş toplumsal gerçekliklere uygulanmasını içerir. Böylece vahyin mesajı, tarihsel bir metin olarak anlaşılırken, anlamı zamanlar üstü bir etik ufuk sunmaya devam eder</w:t>
      </w:r>
      <w:r w:rsidR="00893ADB" w:rsidRPr="00D212EE">
        <w:rPr>
          <w:rStyle w:val="FootnoteReference"/>
          <w:rFonts w:asciiTheme="majorBidi" w:hAnsiTheme="majorBidi" w:cstheme="majorBidi"/>
          <w:sz w:val="24"/>
          <w:szCs w:val="24"/>
        </w:rPr>
        <w:footnoteReference w:id="19"/>
      </w:r>
      <w:r w:rsidRPr="00D212EE">
        <w:rPr>
          <w:rFonts w:asciiTheme="majorBidi" w:hAnsiTheme="majorBidi" w:cstheme="majorBidi"/>
          <w:sz w:val="24"/>
          <w:szCs w:val="24"/>
        </w:rPr>
        <w:t>.</w:t>
      </w:r>
      <w:proofErr w:type="spellStart"/>
      <w:r w:rsidR="00F57C70">
        <w:rPr>
          <w:rFonts w:asciiTheme="majorBidi" w:hAnsiTheme="majorBidi" w:cstheme="majorBidi"/>
          <w:sz w:val="24"/>
          <w:szCs w:val="24"/>
        </w:rPr>
        <w:t>Fazlur</w:t>
      </w:r>
      <w:proofErr w:type="spellEnd"/>
      <w:r w:rsid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Rahma</w:t>
      </w:r>
      <w:r w:rsidR="00893ADB" w:rsidRPr="00D212EE">
        <w:rPr>
          <w:rFonts w:asciiTheme="majorBidi" w:hAnsiTheme="majorBidi" w:cstheme="majorBidi"/>
          <w:sz w:val="24"/>
          <w:szCs w:val="24"/>
        </w:rPr>
        <w:t>’</w:t>
      </w:r>
      <w:r w:rsidR="00F57C70">
        <w:rPr>
          <w:rFonts w:asciiTheme="majorBidi" w:hAnsiTheme="majorBidi" w:cstheme="majorBidi"/>
          <w:sz w:val="24"/>
          <w:szCs w:val="24"/>
        </w:rPr>
        <w:t>a</w:t>
      </w:r>
      <w:proofErr w:type="spellEnd"/>
      <w:r w:rsidR="00893ADB" w:rsidRPr="00D212EE">
        <w:rPr>
          <w:rFonts w:asciiTheme="majorBidi" w:hAnsiTheme="majorBidi" w:cstheme="majorBidi"/>
          <w:sz w:val="24"/>
          <w:szCs w:val="24"/>
        </w:rPr>
        <w:t xml:space="preserve"> </w:t>
      </w:r>
      <w:r w:rsidRPr="00D212EE">
        <w:rPr>
          <w:rFonts w:asciiTheme="majorBidi" w:hAnsiTheme="majorBidi" w:cstheme="majorBidi"/>
          <w:sz w:val="24"/>
          <w:szCs w:val="24"/>
        </w:rPr>
        <w:t xml:space="preserve">göre Kur’an, belirli bir tarihsel bağlamda nazil olmuş olsa </w:t>
      </w:r>
      <w:r w:rsidRPr="00D212EE">
        <w:rPr>
          <w:rFonts w:asciiTheme="majorBidi" w:hAnsiTheme="majorBidi" w:cstheme="majorBidi"/>
          <w:sz w:val="24"/>
          <w:szCs w:val="24"/>
        </w:rPr>
        <w:lastRenderedPageBreak/>
        <w:t>da taşıdığı ahlaki mesaj insanlık tarihinin tamamına hitap eder. Bu nedenle İslami normların çağdaş dünyada anlamlı kılınması, ancak bağlamsal ve ilkesel bir okuma ile mümkündür.</w:t>
      </w:r>
      <w:bookmarkStart w:id="12" w:name="_Toc218886225"/>
    </w:p>
    <w:p w14:paraId="6CA75481" w14:textId="3E808A97" w:rsidR="00BF2A89" w:rsidRPr="00D212EE" w:rsidRDefault="00174D0D" w:rsidP="00FE6A96">
      <w:pPr>
        <w:pStyle w:val="Heading2"/>
        <w:spacing w:line="360" w:lineRule="auto"/>
        <w:jc w:val="both"/>
        <w:rPr>
          <w:sz w:val="24"/>
          <w:szCs w:val="24"/>
        </w:rPr>
      </w:pPr>
      <w:bookmarkStart w:id="13" w:name="_Toc218901285"/>
      <w:bookmarkStart w:id="14" w:name="_Toc219409246"/>
      <w:r w:rsidRPr="00D212EE">
        <w:t xml:space="preserve">Çoğulculuk </w:t>
      </w:r>
      <w:r w:rsidR="00F57C70">
        <w:t>T</w:t>
      </w:r>
      <w:r w:rsidRPr="00D212EE">
        <w:t>eorisi</w:t>
      </w:r>
      <w:bookmarkEnd w:id="12"/>
      <w:bookmarkEnd w:id="13"/>
      <w:bookmarkEnd w:id="14"/>
    </w:p>
    <w:p w14:paraId="2D8BB5AD" w14:textId="026FDA42" w:rsidR="005E4D90"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5E4D90" w:rsidRPr="00D212EE">
        <w:rPr>
          <w:rFonts w:asciiTheme="majorBidi" w:hAnsiTheme="majorBidi" w:cstheme="majorBidi"/>
          <w:sz w:val="24"/>
          <w:szCs w:val="24"/>
        </w:rPr>
        <w:t>’in</w:t>
      </w:r>
      <w:proofErr w:type="spellEnd"/>
      <w:r w:rsidR="005E4D90" w:rsidRPr="00D212EE">
        <w:rPr>
          <w:rFonts w:asciiTheme="majorBidi" w:hAnsiTheme="majorBidi" w:cstheme="majorBidi"/>
          <w:sz w:val="24"/>
          <w:szCs w:val="24"/>
        </w:rPr>
        <w:t xml:space="preserve"> çoğulculuk teorisinin merkezinde al-</w:t>
      </w:r>
      <w:proofErr w:type="spellStart"/>
      <w:r w:rsidR="005E4D90" w:rsidRPr="00D212EE">
        <w:rPr>
          <w:rFonts w:asciiTheme="majorBidi" w:hAnsiTheme="majorBidi" w:cstheme="majorBidi"/>
          <w:sz w:val="24"/>
          <w:szCs w:val="24"/>
        </w:rPr>
        <w:t>ḥanīfiyyah</w:t>
      </w:r>
      <w:proofErr w:type="spellEnd"/>
      <w:r w:rsidR="005E4D90" w:rsidRPr="00D212EE">
        <w:rPr>
          <w:rFonts w:asciiTheme="majorBidi" w:hAnsiTheme="majorBidi" w:cstheme="majorBidi"/>
          <w:sz w:val="24"/>
          <w:szCs w:val="24"/>
        </w:rPr>
        <w:t xml:space="preserve"> al-</w:t>
      </w:r>
      <w:proofErr w:type="spellStart"/>
      <w:r w:rsidR="005E4D90" w:rsidRPr="00D212EE">
        <w:rPr>
          <w:rFonts w:asciiTheme="majorBidi" w:hAnsiTheme="majorBidi" w:cstheme="majorBidi"/>
          <w:sz w:val="24"/>
          <w:szCs w:val="24"/>
        </w:rPr>
        <w:t>samḥah</w:t>
      </w:r>
      <w:proofErr w:type="spellEnd"/>
      <w:r w:rsidR="005E4D90" w:rsidRPr="00D212EE">
        <w:rPr>
          <w:rFonts w:asciiTheme="majorBidi" w:hAnsiTheme="majorBidi" w:cstheme="majorBidi"/>
          <w:sz w:val="24"/>
          <w:szCs w:val="24"/>
        </w:rPr>
        <w:t xml:space="preserve"> (hoşgörülü tevhid) kavramı yer almaktadır. Bu kavram, insanın fıtratının hakikati aramaya ve ilahi olana yönelmeye doğal olarak yatkın olduğunu varsayar</w:t>
      </w:r>
      <w:r w:rsidR="005E4D90" w:rsidRPr="00D212EE">
        <w:rPr>
          <w:rStyle w:val="FootnoteReference"/>
          <w:rFonts w:asciiTheme="majorBidi" w:hAnsiTheme="majorBidi" w:cstheme="majorBidi"/>
          <w:sz w:val="24"/>
          <w:szCs w:val="24"/>
        </w:rPr>
        <w:footnoteReference w:id="20"/>
      </w:r>
      <w:r w:rsidR="005E4D90"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5E4D90" w:rsidRPr="00D212EE">
        <w:rPr>
          <w:rFonts w:asciiTheme="majorBidi" w:hAnsiTheme="majorBidi" w:cstheme="majorBidi"/>
          <w:sz w:val="24"/>
          <w:szCs w:val="24"/>
        </w:rPr>
        <w:t>’e</w:t>
      </w:r>
      <w:proofErr w:type="spellEnd"/>
      <w:r w:rsidR="005E4D90" w:rsidRPr="00D212EE">
        <w:rPr>
          <w:rFonts w:asciiTheme="majorBidi" w:hAnsiTheme="majorBidi" w:cstheme="majorBidi"/>
          <w:sz w:val="24"/>
          <w:szCs w:val="24"/>
        </w:rPr>
        <w:t xml:space="preserve"> göre çoğulculuk, ilahi irade tarafından murat edilmiş bir gerçeklik olmasının yanı sıra, insanlığın güvenliği ve medeniyetin devamı için zorunlu bir koşuldur. Bu yaklaşımını, </w:t>
      </w:r>
      <w:proofErr w:type="spellStart"/>
      <w:r w:rsidR="005E4D90" w:rsidRPr="00D212EE">
        <w:rPr>
          <w:rFonts w:asciiTheme="majorBidi" w:hAnsiTheme="majorBidi" w:cstheme="majorBidi"/>
          <w:sz w:val="24"/>
          <w:szCs w:val="24"/>
        </w:rPr>
        <w:t>Hucurât</w:t>
      </w:r>
      <w:proofErr w:type="spellEnd"/>
      <w:r w:rsidR="005E4D90" w:rsidRPr="00D212EE">
        <w:rPr>
          <w:rFonts w:asciiTheme="majorBidi" w:hAnsiTheme="majorBidi" w:cstheme="majorBidi"/>
          <w:sz w:val="24"/>
          <w:szCs w:val="24"/>
        </w:rPr>
        <w:t xml:space="preserve"> Suresi 13</w:t>
      </w:r>
      <w:r w:rsidR="00E4684E" w:rsidRPr="00D212EE">
        <w:rPr>
          <w:rFonts w:asciiTheme="majorBidi" w:hAnsiTheme="majorBidi" w:cstheme="majorBidi"/>
          <w:sz w:val="24"/>
          <w:szCs w:val="24"/>
        </w:rPr>
        <w:t>.</w:t>
      </w:r>
      <w:r w:rsidR="005E4D90" w:rsidRPr="00D212EE">
        <w:rPr>
          <w:rFonts w:asciiTheme="majorBidi" w:hAnsiTheme="majorBidi" w:cstheme="majorBidi"/>
          <w:sz w:val="24"/>
          <w:szCs w:val="24"/>
        </w:rPr>
        <w:t xml:space="preserve"> ayetine dayandırarak temellendirir. </w:t>
      </w:r>
    </w:p>
    <w:p w14:paraId="2BCAFE6C" w14:textId="182AFDAC" w:rsidR="005E4D90" w:rsidRPr="00D212EE" w:rsidRDefault="005E4D90"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 xml:space="preserve">يَٓا اَيُّهَا النَّاسُ اِنَّا خَلَقْنَاكُمْ مِنْ ذَكَرٍ وَاُنْثٰى وَجَعَلْنَاكُمْ شُعُوباً وَقَـبَٓائِلَ </w:t>
      </w:r>
      <w:r w:rsidRPr="00F57C70">
        <w:rPr>
          <w:rFonts w:asciiTheme="majorBidi" w:hAnsiTheme="majorBidi" w:cstheme="majorBidi"/>
          <w:b/>
          <w:bCs/>
          <w:sz w:val="24"/>
          <w:szCs w:val="24"/>
          <w:rtl/>
        </w:rPr>
        <w:t>لِتَعَارَفُواؕ</w:t>
      </w:r>
      <w:r w:rsidRPr="00D212EE">
        <w:rPr>
          <w:rFonts w:asciiTheme="majorBidi" w:hAnsiTheme="majorBidi" w:cstheme="majorBidi"/>
          <w:sz w:val="24"/>
          <w:szCs w:val="24"/>
          <w:rtl/>
        </w:rPr>
        <w:t xml:space="preserve"> اِنَّ اَكْرَمَكُمْ عِنْدَ اللّٰهِ اَتْقٰيكُمْؕ اِنَّ اللّٰهَ عَلٖيمٌ خَبٖيرٌ</w:t>
      </w:r>
    </w:p>
    <w:p w14:paraId="02EDFF34" w14:textId="604FA7CB" w:rsidR="005E4D90" w:rsidRPr="00D212EE" w:rsidRDefault="00741410"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5E4D90" w:rsidRPr="00D212EE">
        <w:rPr>
          <w:rFonts w:asciiTheme="majorBidi" w:hAnsiTheme="majorBidi" w:cstheme="majorBidi"/>
          <w:sz w:val="24"/>
          <w:szCs w:val="24"/>
        </w:rPr>
        <w:t xml:space="preserve">Ey insanlar! Şüphesiz sizi bir erkek ile bir dişiden yarattık, </w:t>
      </w:r>
      <w:r w:rsidR="005E4D90" w:rsidRPr="00F57C70">
        <w:rPr>
          <w:rFonts w:asciiTheme="majorBidi" w:hAnsiTheme="majorBidi" w:cstheme="majorBidi"/>
          <w:b/>
          <w:bCs/>
          <w:sz w:val="24"/>
          <w:szCs w:val="24"/>
        </w:rPr>
        <w:t>tanışasınız diye</w:t>
      </w:r>
      <w:r w:rsidR="005E4D90" w:rsidRPr="00D212EE">
        <w:rPr>
          <w:rFonts w:asciiTheme="majorBidi" w:hAnsiTheme="majorBidi" w:cstheme="majorBidi"/>
          <w:sz w:val="24"/>
          <w:szCs w:val="24"/>
        </w:rPr>
        <w:t xml:space="preserve"> sizi kavim ve kabilelere ayırdık, Allah katında en değerli olanınız O’na itaatsizlikten en fazla sakınanınızdır. Allah her şeyi hakkıyla bilmektedir, her şeyden haberdardır.</w:t>
      </w:r>
      <w:r>
        <w:rPr>
          <w:rFonts w:asciiTheme="majorBidi" w:hAnsiTheme="majorBidi" w:cstheme="majorBidi"/>
          <w:sz w:val="24"/>
          <w:szCs w:val="24"/>
        </w:rPr>
        <w:t>”</w:t>
      </w:r>
    </w:p>
    <w:p w14:paraId="537E31CD" w14:textId="7252E3DC" w:rsidR="005E4D90" w:rsidRPr="00D212EE" w:rsidRDefault="005E4D90"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Söz konusu ayet, insanların farklı milletler ve kabileler hâlinde yaratılmasının amacını “birbirlerini tanımaları” (</w:t>
      </w:r>
      <w:proofErr w:type="spellStart"/>
      <w:r w:rsidRPr="00D212EE">
        <w:rPr>
          <w:rFonts w:asciiTheme="majorBidi" w:hAnsiTheme="majorBidi" w:cstheme="majorBidi"/>
          <w:sz w:val="24"/>
          <w:szCs w:val="24"/>
        </w:rPr>
        <w:t>li</w:t>
      </w:r>
      <w:proofErr w:type="spellEnd"/>
      <w:r w:rsidRPr="00D212EE">
        <w:rPr>
          <w:rFonts w:asciiTheme="majorBidi" w:hAnsiTheme="majorBidi" w:cstheme="majorBidi"/>
          <w:sz w:val="24"/>
          <w:szCs w:val="24"/>
        </w:rPr>
        <w:t xml:space="preserve"> </w:t>
      </w:r>
      <w:proofErr w:type="spellStart"/>
      <w:proofErr w:type="gramStart"/>
      <w:r w:rsidRPr="00D212EE">
        <w:rPr>
          <w:rFonts w:asciiTheme="majorBidi" w:hAnsiTheme="majorBidi" w:cstheme="majorBidi"/>
          <w:sz w:val="24"/>
          <w:szCs w:val="24"/>
        </w:rPr>
        <w:t>ta‘</w:t>
      </w:r>
      <w:proofErr w:type="gramEnd"/>
      <w:r w:rsidRPr="00D212EE">
        <w:rPr>
          <w:rFonts w:asciiTheme="majorBidi" w:hAnsiTheme="majorBidi" w:cstheme="majorBidi"/>
          <w:sz w:val="24"/>
          <w:szCs w:val="24"/>
        </w:rPr>
        <w:t>ārafū</w:t>
      </w:r>
      <w:proofErr w:type="spellEnd"/>
      <w:r w:rsidRPr="00D212EE">
        <w:rPr>
          <w:rFonts w:asciiTheme="majorBidi" w:hAnsiTheme="majorBidi" w:cstheme="majorBidi"/>
          <w:sz w:val="24"/>
          <w:szCs w:val="24"/>
        </w:rPr>
        <w:t xml:space="preserve">) olarak tanımlar.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’e</w:t>
      </w:r>
      <w:proofErr w:type="spellEnd"/>
      <w:r w:rsidRPr="00D212EE">
        <w:rPr>
          <w:rFonts w:asciiTheme="majorBidi" w:hAnsiTheme="majorBidi" w:cstheme="majorBidi"/>
          <w:sz w:val="24"/>
          <w:szCs w:val="24"/>
        </w:rPr>
        <w:t xml:space="preserve"> göre “</w:t>
      </w:r>
      <w:proofErr w:type="spellStart"/>
      <w:r w:rsidRPr="00D212EE">
        <w:rPr>
          <w:rFonts w:asciiTheme="majorBidi" w:hAnsiTheme="majorBidi" w:cstheme="majorBidi"/>
          <w:sz w:val="24"/>
          <w:szCs w:val="24"/>
        </w:rPr>
        <w:t>öteki”ni</w:t>
      </w:r>
      <w:proofErr w:type="spellEnd"/>
      <w:r w:rsidRPr="00D212EE">
        <w:rPr>
          <w:rFonts w:asciiTheme="majorBidi" w:hAnsiTheme="majorBidi" w:cstheme="majorBidi"/>
          <w:sz w:val="24"/>
          <w:szCs w:val="24"/>
        </w:rPr>
        <w:t xml:space="preserve"> tanıma edimi, kabilecilik ve mezhepçilik sınırlarını aşan aktif bir dinî yükümlülüktür.</w:t>
      </w:r>
    </w:p>
    <w:p w14:paraId="0F9B6FCE" w14:textId="2051042A" w:rsidR="00C97A9A" w:rsidRPr="00D212EE" w:rsidRDefault="00C97A9A"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Nurcholis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Kur'an-ı Kerim'de Bakara Suresi 62. ayette Allah'ın sözlerinden alıntı yaparak dini çoğulculuğu teşvik etme konusundaki bakış açısını ortaya koymaktadır.</w:t>
      </w:r>
    </w:p>
    <w:p w14:paraId="591CE2B0" w14:textId="77777777" w:rsidR="00C97A9A" w:rsidRPr="00D212EE" w:rsidRDefault="00C97A9A"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اِنَّ الَّذٖينَ اٰمَنُوا وَالَّذٖينَ هَادُوا وَالنَّصَارٰى وَالصَّابِـٖٔينَ مَنْ اٰمَنَ بِاللّٰهِ وَالْيَوْمِ الْاٰخِرِ وَعَمِلَ صَالِحًا فَلَهُمْ اَجْرُهُمْ عِنْدَ رَبِّهِمْۖ وَلَا خَوْفٌ عَلَيْهِمْ وَلَا هُمْ يَحْزَنُونَ</w:t>
      </w:r>
    </w:p>
    <w:p w14:paraId="5D157AB4" w14:textId="6FD2D59B" w:rsidR="00C97A9A" w:rsidRPr="00D212EE" w:rsidRDefault="00741410"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C97A9A" w:rsidRPr="00D212EE">
        <w:rPr>
          <w:rFonts w:asciiTheme="majorBidi" w:hAnsiTheme="majorBidi" w:cstheme="majorBidi"/>
          <w:sz w:val="24"/>
          <w:szCs w:val="24"/>
        </w:rPr>
        <w:t xml:space="preserve">Şüphesiz, iman edenler; </w:t>
      </w:r>
      <w:proofErr w:type="spellStart"/>
      <w:r w:rsidR="00C97A9A" w:rsidRPr="00D212EE">
        <w:rPr>
          <w:rFonts w:asciiTheme="majorBidi" w:hAnsiTheme="majorBidi" w:cstheme="majorBidi"/>
          <w:sz w:val="24"/>
          <w:szCs w:val="24"/>
        </w:rPr>
        <w:t>yahudilerden</w:t>
      </w:r>
      <w:proofErr w:type="spellEnd"/>
      <w:r w:rsidR="00C97A9A" w:rsidRPr="00D212EE">
        <w:rPr>
          <w:rFonts w:asciiTheme="majorBidi" w:hAnsiTheme="majorBidi" w:cstheme="majorBidi"/>
          <w:sz w:val="24"/>
          <w:szCs w:val="24"/>
        </w:rPr>
        <w:t xml:space="preserve">, </w:t>
      </w:r>
      <w:proofErr w:type="spellStart"/>
      <w:r w:rsidR="00C97A9A" w:rsidRPr="00D212EE">
        <w:rPr>
          <w:rFonts w:asciiTheme="majorBidi" w:hAnsiTheme="majorBidi" w:cstheme="majorBidi"/>
          <w:sz w:val="24"/>
          <w:szCs w:val="24"/>
        </w:rPr>
        <w:t>hıristiyanlardan</w:t>
      </w:r>
      <w:proofErr w:type="spellEnd"/>
      <w:r w:rsidR="00C97A9A" w:rsidRPr="00D212EE">
        <w:rPr>
          <w:rFonts w:asciiTheme="majorBidi" w:hAnsiTheme="majorBidi" w:cstheme="majorBidi"/>
          <w:sz w:val="24"/>
          <w:szCs w:val="24"/>
        </w:rPr>
        <w:t xml:space="preserve"> ve </w:t>
      </w:r>
      <w:proofErr w:type="spellStart"/>
      <w:r w:rsidR="00C97A9A" w:rsidRPr="00D212EE">
        <w:rPr>
          <w:rFonts w:asciiTheme="majorBidi" w:hAnsiTheme="majorBidi" w:cstheme="majorBidi"/>
          <w:sz w:val="24"/>
          <w:szCs w:val="24"/>
        </w:rPr>
        <w:t>Sâbiîler’den</w:t>
      </w:r>
      <w:proofErr w:type="spellEnd"/>
      <w:r w:rsidR="00C97A9A" w:rsidRPr="00D212EE">
        <w:rPr>
          <w:rFonts w:asciiTheme="majorBidi" w:hAnsiTheme="majorBidi" w:cstheme="majorBidi"/>
          <w:sz w:val="24"/>
          <w:szCs w:val="24"/>
        </w:rPr>
        <w:t xml:space="preserve"> de Allah’a ve </w:t>
      </w:r>
      <w:proofErr w:type="spellStart"/>
      <w:r w:rsidR="00C97A9A" w:rsidRPr="00D212EE">
        <w:rPr>
          <w:rFonts w:asciiTheme="majorBidi" w:hAnsiTheme="majorBidi" w:cstheme="majorBidi"/>
          <w:sz w:val="24"/>
          <w:szCs w:val="24"/>
        </w:rPr>
        <w:t>âhiret</w:t>
      </w:r>
      <w:proofErr w:type="spellEnd"/>
      <w:r w:rsidR="00C97A9A" w:rsidRPr="00D212EE">
        <w:rPr>
          <w:rFonts w:asciiTheme="majorBidi" w:hAnsiTheme="majorBidi" w:cstheme="majorBidi"/>
          <w:sz w:val="24"/>
          <w:szCs w:val="24"/>
        </w:rPr>
        <w:t xml:space="preserve"> gününe inanıp </w:t>
      </w:r>
      <w:proofErr w:type="spellStart"/>
      <w:r w:rsidR="00C97A9A" w:rsidRPr="00D212EE">
        <w:rPr>
          <w:rFonts w:asciiTheme="majorBidi" w:hAnsiTheme="majorBidi" w:cstheme="majorBidi"/>
          <w:sz w:val="24"/>
          <w:szCs w:val="24"/>
        </w:rPr>
        <w:t>sâlih</w:t>
      </w:r>
      <w:proofErr w:type="spellEnd"/>
      <w:r w:rsidR="00C97A9A" w:rsidRPr="00D212EE">
        <w:rPr>
          <w:rFonts w:asciiTheme="majorBidi" w:hAnsiTheme="majorBidi" w:cstheme="majorBidi"/>
          <w:sz w:val="24"/>
          <w:szCs w:val="24"/>
        </w:rPr>
        <w:t xml:space="preserve"> amel işleyenler için rableri katında mükâfatlar vardır. Onlar için herhangi bir korku yoktur; onlar üzüntü de çekmeyecekler.</w:t>
      </w:r>
      <w:r>
        <w:rPr>
          <w:rFonts w:asciiTheme="majorBidi" w:hAnsiTheme="majorBidi" w:cstheme="majorBidi"/>
          <w:sz w:val="24"/>
          <w:szCs w:val="24"/>
        </w:rPr>
        <w:t>”</w:t>
      </w:r>
    </w:p>
    <w:p w14:paraId="5943F4CD" w14:textId="7F6AE8F1" w:rsidR="00C97A9A" w:rsidRPr="00D212EE" w:rsidRDefault="00C97A9A"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Nurcholis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çeşitli yazılarında dinî çoğulculuk kavramını ortaya koymuş ve bu konuda çok şey yapmıştır. Örneğin, </w:t>
      </w:r>
      <w:r w:rsidR="00F57C70">
        <w:rPr>
          <w:rFonts w:asciiTheme="majorBidi" w:hAnsiTheme="majorBidi" w:cstheme="majorBidi"/>
          <w:sz w:val="24"/>
          <w:szCs w:val="24"/>
        </w:rPr>
        <w:t>“</w:t>
      </w:r>
      <w:proofErr w:type="spellStart"/>
      <w:r w:rsidR="00F57C70" w:rsidRPr="00F57C70">
        <w:rPr>
          <w:rFonts w:asciiTheme="majorBidi" w:hAnsiTheme="majorBidi" w:cstheme="majorBidi"/>
          <w:sz w:val="24"/>
          <w:szCs w:val="24"/>
        </w:rPr>
        <w:t>Islam</w:t>
      </w:r>
      <w:proofErr w:type="spellEnd"/>
      <w:r w:rsidR="00F57C70" w:rsidRPr="00F57C70">
        <w:rPr>
          <w:rFonts w:asciiTheme="majorBidi" w:hAnsiTheme="majorBidi" w:cstheme="majorBidi"/>
          <w:sz w:val="24"/>
          <w:szCs w:val="24"/>
        </w:rPr>
        <w:t xml:space="preserve">: Doktrin dan </w:t>
      </w:r>
      <w:proofErr w:type="spellStart"/>
      <w:r w:rsidR="00F57C70" w:rsidRPr="00F57C70">
        <w:rPr>
          <w:rFonts w:asciiTheme="majorBidi" w:hAnsiTheme="majorBidi" w:cstheme="majorBidi"/>
          <w:sz w:val="24"/>
          <w:szCs w:val="24"/>
        </w:rPr>
        <w:t>Peradaban</w:t>
      </w:r>
      <w:proofErr w:type="spellEnd"/>
      <w:r w:rsid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S</w:t>
      </w:r>
      <w:r w:rsidR="00F57C70" w:rsidRPr="00F57C70">
        <w:rPr>
          <w:rFonts w:asciiTheme="majorBidi" w:hAnsiTheme="majorBidi" w:cstheme="majorBidi"/>
          <w:sz w:val="24"/>
          <w:szCs w:val="24"/>
        </w:rPr>
        <w:t>ebuah</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T</w:t>
      </w:r>
      <w:r w:rsidR="00F57C70" w:rsidRPr="00F57C70">
        <w:rPr>
          <w:rFonts w:asciiTheme="majorBidi" w:hAnsiTheme="majorBidi" w:cstheme="majorBidi"/>
          <w:sz w:val="24"/>
          <w:szCs w:val="24"/>
        </w:rPr>
        <w:t>elaah</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K</w:t>
      </w:r>
      <w:r w:rsidR="00F57C70" w:rsidRPr="00F57C70">
        <w:rPr>
          <w:rFonts w:asciiTheme="majorBidi" w:hAnsiTheme="majorBidi" w:cstheme="majorBidi"/>
          <w:sz w:val="24"/>
          <w:szCs w:val="24"/>
        </w:rPr>
        <w:t>ritis</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T</w:t>
      </w:r>
      <w:r w:rsidR="00F57C70" w:rsidRPr="00F57C70">
        <w:rPr>
          <w:rFonts w:asciiTheme="majorBidi" w:hAnsiTheme="majorBidi" w:cstheme="majorBidi"/>
          <w:sz w:val="24"/>
          <w:szCs w:val="24"/>
        </w:rPr>
        <w:t>entang</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lastRenderedPageBreak/>
        <w:t>M</w:t>
      </w:r>
      <w:r w:rsidR="00F57C70" w:rsidRPr="00F57C70">
        <w:rPr>
          <w:rFonts w:asciiTheme="majorBidi" w:hAnsiTheme="majorBidi" w:cstheme="majorBidi"/>
          <w:sz w:val="24"/>
          <w:szCs w:val="24"/>
        </w:rPr>
        <w:t>asalah</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K</w:t>
      </w:r>
      <w:r w:rsidR="00F57C70" w:rsidRPr="00F57C70">
        <w:rPr>
          <w:rFonts w:asciiTheme="majorBidi" w:hAnsiTheme="majorBidi" w:cstheme="majorBidi"/>
          <w:sz w:val="24"/>
          <w:szCs w:val="24"/>
        </w:rPr>
        <w:t>eimanan</w:t>
      </w:r>
      <w:proofErr w:type="spellEnd"/>
      <w:r w:rsidR="00F57C70" w:rsidRPr="00F57C70">
        <w:rPr>
          <w:rFonts w:asciiTheme="majorBidi" w:hAnsiTheme="majorBidi" w:cstheme="majorBidi"/>
          <w:sz w:val="24"/>
          <w:szCs w:val="24"/>
        </w:rPr>
        <w:t xml:space="preserve"> </w:t>
      </w:r>
      <w:proofErr w:type="spellStart"/>
      <w:r w:rsidR="00F57C70">
        <w:rPr>
          <w:rFonts w:asciiTheme="majorBidi" w:hAnsiTheme="majorBidi" w:cstheme="majorBidi"/>
          <w:sz w:val="24"/>
          <w:szCs w:val="24"/>
        </w:rPr>
        <w:t>K</w:t>
      </w:r>
      <w:r w:rsidR="00F57C70" w:rsidRPr="00F57C70">
        <w:rPr>
          <w:rFonts w:asciiTheme="majorBidi" w:hAnsiTheme="majorBidi" w:cstheme="majorBidi"/>
          <w:sz w:val="24"/>
          <w:szCs w:val="24"/>
        </w:rPr>
        <w:t>emanusiaan</w:t>
      </w:r>
      <w:proofErr w:type="spellEnd"/>
      <w:r w:rsidR="00F57C70" w:rsidRPr="00F57C70">
        <w:rPr>
          <w:rFonts w:asciiTheme="majorBidi" w:hAnsiTheme="majorBidi" w:cstheme="majorBidi"/>
          <w:sz w:val="24"/>
          <w:szCs w:val="24"/>
        </w:rPr>
        <w:t xml:space="preserve"> </w:t>
      </w:r>
      <w:r w:rsidR="00F57C70">
        <w:rPr>
          <w:rFonts w:asciiTheme="majorBidi" w:hAnsiTheme="majorBidi" w:cstheme="majorBidi"/>
          <w:sz w:val="24"/>
          <w:szCs w:val="24"/>
        </w:rPr>
        <w:t>d</w:t>
      </w:r>
      <w:r w:rsidR="00F57C70" w:rsidRPr="00F57C70">
        <w:rPr>
          <w:rFonts w:asciiTheme="majorBidi" w:hAnsiTheme="majorBidi" w:cstheme="majorBidi"/>
          <w:sz w:val="24"/>
          <w:szCs w:val="24"/>
        </w:rPr>
        <w:t xml:space="preserve">an </w:t>
      </w:r>
      <w:proofErr w:type="spellStart"/>
      <w:r w:rsidR="00F57C70">
        <w:rPr>
          <w:rFonts w:asciiTheme="majorBidi" w:hAnsiTheme="majorBidi" w:cstheme="majorBidi"/>
          <w:sz w:val="24"/>
          <w:szCs w:val="24"/>
        </w:rPr>
        <w:t>K</w:t>
      </w:r>
      <w:r w:rsidR="00F57C70" w:rsidRPr="00F57C70">
        <w:rPr>
          <w:rFonts w:asciiTheme="majorBidi" w:hAnsiTheme="majorBidi" w:cstheme="majorBidi"/>
          <w:sz w:val="24"/>
          <w:szCs w:val="24"/>
        </w:rPr>
        <w:t>emodernan</w:t>
      </w:r>
      <w:proofErr w:type="spellEnd"/>
      <w:r w:rsidR="00F57C70">
        <w:rPr>
          <w:rStyle w:val="FootnoteReference"/>
          <w:rFonts w:asciiTheme="majorBidi" w:hAnsiTheme="majorBidi" w:cstheme="majorBidi"/>
          <w:sz w:val="24"/>
          <w:szCs w:val="24"/>
        </w:rPr>
        <w:footnoteReference w:id="21"/>
      </w:r>
      <w:r w:rsidR="00F57C70">
        <w:rPr>
          <w:rFonts w:asciiTheme="majorBidi" w:hAnsiTheme="majorBidi" w:cstheme="majorBidi"/>
          <w:sz w:val="24"/>
          <w:szCs w:val="24"/>
        </w:rPr>
        <w:t>”</w:t>
      </w:r>
      <w:r w:rsidR="00F57C70" w:rsidRPr="00F57C70">
        <w:rPr>
          <w:rFonts w:asciiTheme="majorBidi" w:hAnsiTheme="majorBidi" w:cstheme="majorBidi"/>
          <w:sz w:val="24"/>
          <w:szCs w:val="24"/>
        </w:rPr>
        <w:t xml:space="preserve"> </w:t>
      </w:r>
      <w:r w:rsidRPr="00D212EE">
        <w:rPr>
          <w:rFonts w:asciiTheme="majorBidi" w:hAnsiTheme="majorBidi" w:cstheme="majorBidi"/>
          <w:sz w:val="24"/>
          <w:szCs w:val="24"/>
        </w:rPr>
        <w:t xml:space="preserve">adlı kitabında dinî çoğulculuğu, Tanrı'ya giden çeşitli yollar olarak tanımlar. Dinî çoğulculuk, tek bir hakikate, yani Tanrı'nın hakikatine götüren çok sayıda yoldur. Tanrı'ya birçok kapı çıkar. </w:t>
      </w:r>
      <w:proofErr w:type="spellStart"/>
      <w:r w:rsidR="00597A56" w:rsidRPr="00D212EE">
        <w:rPr>
          <w:rFonts w:asciiTheme="majorBidi" w:hAnsiTheme="majorBidi" w:cstheme="majorBidi"/>
          <w:sz w:val="24"/>
          <w:szCs w:val="24"/>
        </w:rPr>
        <w:t>Nurhâlis</w:t>
      </w:r>
      <w:proofErr w:type="spellEnd"/>
      <w:r w:rsidR="00597A56" w:rsidRPr="00D212EE">
        <w:rPr>
          <w:rFonts w:asciiTheme="majorBidi" w:hAnsiTheme="majorBidi" w:cstheme="majorBidi"/>
          <w:sz w:val="24"/>
          <w:szCs w:val="24"/>
        </w:rPr>
        <w:t xml:space="preserve"> </w:t>
      </w:r>
      <w:proofErr w:type="spellStart"/>
      <w:r w:rsidR="00597A5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dinin dışsal olarak çoğul bir yüze sahip olmasına rağmen, içsel olarak dinlerin tek bir Tanrı'ya, Yüce Tanrı'ya götürdüğünü söylemiştir. Özellikle Yahudilik, Hristiyanlık ve İslam gibi tek tanrılı dinler, hepsi </w:t>
      </w:r>
      <w:proofErr w:type="spellStart"/>
      <w:r w:rsidRPr="00D212EE">
        <w:rPr>
          <w:rFonts w:asciiTheme="majorBidi" w:hAnsiTheme="majorBidi" w:cstheme="majorBidi"/>
          <w:sz w:val="24"/>
          <w:szCs w:val="24"/>
        </w:rPr>
        <w:t>İbrahimî</w:t>
      </w:r>
      <w:proofErr w:type="spellEnd"/>
      <w:r w:rsidRPr="00D212EE">
        <w:rPr>
          <w:rFonts w:asciiTheme="majorBidi" w:hAnsiTheme="majorBidi" w:cstheme="majorBidi"/>
          <w:sz w:val="24"/>
          <w:szCs w:val="24"/>
        </w:rPr>
        <w:t xml:space="preserve"> dinlere dayanmaktadır</w:t>
      </w:r>
      <w:r w:rsidR="00E4684E" w:rsidRPr="00D212EE">
        <w:rPr>
          <w:rStyle w:val="FootnoteReference"/>
          <w:rFonts w:asciiTheme="majorBidi" w:hAnsiTheme="majorBidi" w:cstheme="majorBidi"/>
          <w:sz w:val="24"/>
          <w:szCs w:val="24"/>
        </w:rPr>
        <w:footnoteReference w:id="22"/>
      </w:r>
      <w:r w:rsidRPr="00D212EE">
        <w:rPr>
          <w:rFonts w:asciiTheme="majorBidi" w:hAnsiTheme="majorBidi" w:cstheme="majorBidi"/>
          <w:sz w:val="24"/>
          <w:szCs w:val="24"/>
        </w:rPr>
        <w:t>.</w:t>
      </w:r>
    </w:p>
    <w:p w14:paraId="7542E221" w14:textId="4BBCA829" w:rsidR="00877746"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Nurhâlis</w:t>
      </w:r>
      <w:proofErr w:type="spellEnd"/>
      <w:r w:rsidR="00877746"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877746" w:rsidRPr="00D212EE">
        <w:rPr>
          <w:rFonts w:asciiTheme="majorBidi" w:hAnsiTheme="majorBidi" w:cstheme="majorBidi"/>
          <w:sz w:val="24"/>
          <w:szCs w:val="24"/>
        </w:rPr>
        <w:t>'in</w:t>
      </w:r>
      <w:proofErr w:type="spellEnd"/>
      <w:r w:rsidR="00877746" w:rsidRPr="00D212EE">
        <w:rPr>
          <w:rFonts w:asciiTheme="majorBidi" w:hAnsiTheme="majorBidi" w:cstheme="majorBidi"/>
          <w:sz w:val="24"/>
          <w:szCs w:val="24"/>
        </w:rPr>
        <w:t xml:space="preserve"> dinî çoğulculuk formülasyonu, geleneksel İslami ilimleri modern sosyal teoriyle sentezleyen karmaşık bir entelektüel projedir. Çerçevesi esas olarak üç farklı ancak birbiriyle ilişkili metodolojik prizma üzerinden oluşturulmuştur: teolojik-ontolojik, filolojik-semantik ve </w:t>
      </w:r>
      <w:proofErr w:type="spellStart"/>
      <w:r w:rsidR="00877746" w:rsidRPr="00D212EE">
        <w:rPr>
          <w:rFonts w:asciiTheme="majorBidi" w:hAnsiTheme="majorBidi" w:cstheme="majorBidi"/>
          <w:sz w:val="24"/>
          <w:szCs w:val="24"/>
        </w:rPr>
        <w:t>sosyo</w:t>
      </w:r>
      <w:proofErr w:type="spellEnd"/>
      <w:r w:rsidR="00877746" w:rsidRPr="00D212EE">
        <w:rPr>
          <w:rFonts w:asciiTheme="majorBidi" w:hAnsiTheme="majorBidi" w:cstheme="majorBidi"/>
          <w:sz w:val="24"/>
          <w:szCs w:val="24"/>
        </w:rPr>
        <w:t>-tarihsel.</w:t>
      </w:r>
    </w:p>
    <w:p w14:paraId="0BBFDF21" w14:textId="7F5EDCA0" w:rsidR="00877746" w:rsidRPr="00D212EE" w:rsidRDefault="00877746" w:rsidP="00FE6A96">
      <w:pPr>
        <w:pStyle w:val="Heading3"/>
        <w:spacing w:line="360" w:lineRule="auto"/>
        <w:jc w:val="both"/>
      </w:pPr>
      <w:bookmarkStart w:id="15" w:name="_Toc218886226"/>
      <w:bookmarkStart w:id="16" w:name="_Toc218901286"/>
      <w:bookmarkStart w:id="17" w:name="_Toc219409247"/>
      <w:r w:rsidRPr="00D212EE">
        <w:t>1. Teolojik-Ontolojik Yaklaşım (Tevhid)</w:t>
      </w:r>
      <w:bookmarkEnd w:id="15"/>
      <w:bookmarkEnd w:id="16"/>
      <w:bookmarkEnd w:id="17"/>
    </w:p>
    <w:p w14:paraId="5ADF9C19" w14:textId="270D8538" w:rsidR="00877746"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877746" w:rsidRPr="00D212EE">
        <w:rPr>
          <w:rFonts w:asciiTheme="majorBidi" w:hAnsiTheme="majorBidi" w:cstheme="majorBidi"/>
          <w:sz w:val="24"/>
          <w:szCs w:val="24"/>
        </w:rPr>
        <w:t>’in</w:t>
      </w:r>
      <w:proofErr w:type="spellEnd"/>
      <w:r w:rsidR="00877746" w:rsidRPr="00D212EE">
        <w:rPr>
          <w:rFonts w:asciiTheme="majorBidi" w:hAnsiTheme="majorBidi" w:cstheme="majorBidi"/>
          <w:sz w:val="24"/>
          <w:szCs w:val="24"/>
        </w:rPr>
        <w:t xml:space="preserve"> temel hareket noktası, </w:t>
      </w:r>
      <w:proofErr w:type="spellStart"/>
      <w:r w:rsidR="00877746" w:rsidRPr="00D212EE">
        <w:rPr>
          <w:rFonts w:asciiTheme="majorBidi" w:hAnsiTheme="majorBidi" w:cstheme="majorBidi"/>
          <w:sz w:val="24"/>
          <w:szCs w:val="24"/>
        </w:rPr>
        <w:t>Tevhid’in</w:t>
      </w:r>
      <w:proofErr w:type="spellEnd"/>
      <w:r w:rsidR="00877746" w:rsidRPr="00D212EE">
        <w:rPr>
          <w:rFonts w:asciiTheme="majorBidi" w:hAnsiTheme="majorBidi" w:cstheme="majorBidi"/>
          <w:sz w:val="24"/>
          <w:szCs w:val="24"/>
        </w:rPr>
        <w:t xml:space="preserve"> radikal bir yeniden yorumudur. Bu yorumu, </w:t>
      </w:r>
      <w:proofErr w:type="spellStart"/>
      <w:r w:rsidR="00877746" w:rsidRPr="00D212EE">
        <w:rPr>
          <w:rFonts w:asciiTheme="majorBidi" w:hAnsiTheme="majorBidi" w:cstheme="majorBidi"/>
          <w:sz w:val="24"/>
          <w:szCs w:val="24"/>
        </w:rPr>
        <w:t>antropomerkezci</w:t>
      </w:r>
      <w:proofErr w:type="spellEnd"/>
      <w:r w:rsidR="00877746" w:rsidRPr="00D212EE">
        <w:rPr>
          <w:rFonts w:asciiTheme="majorBidi" w:hAnsiTheme="majorBidi" w:cstheme="majorBidi"/>
          <w:sz w:val="24"/>
          <w:szCs w:val="24"/>
        </w:rPr>
        <w:t xml:space="preserve"> bir etik çerçeve tesis etmek için kullanır. Bu yaklaşıma göre </w:t>
      </w:r>
      <w:proofErr w:type="spellStart"/>
      <w:r w:rsidRPr="00D212EE">
        <w:rPr>
          <w:rFonts w:asciiTheme="majorBidi" w:hAnsiTheme="majorBidi" w:cstheme="majorBidi"/>
          <w:sz w:val="24"/>
          <w:szCs w:val="24"/>
        </w:rPr>
        <w:t>Mâcid</w:t>
      </w:r>
      <w:proofErr w:type="spellEnd"/>
      <w:r w:rsidR="00877746" w:rsidRPr="00D212EE">
        <w:rPr>
          <w:rFonts w:asciiTheme="majorBidi" w:hAnsiTheme="majorBidi" w:cstheme="majorBidi"/>
          <w:sz w:val="24"/>
          <w:szCs w:val="24"/>
        </w:rPr>
        <w:t>, Şehadet kelimesinin “Allah’tan başka ilah yoktur” yalnızca teolojik bir beyan değil, aynı zamanda belirli siyasal sistemlerin ya da dinî kurumların kutsallaştırılması dâhil olmak üzere tüm dünyevi “putlardan” mutlak bir özgürleşme ilanı olduğunu savunur</w:t>
      </w:r>
      <w:r w:rsidR="006005B9" w:rsidRPr="00D212EE">
        <w:rPr>
          <w:rStyle w:val="FootnoteReference"/>
          <w:rFonts w:asciiTheme="majorBidi" w:hAnsiTheme="majorBidi" w:cstheme="majorBidi"/>
          <w:sz w:val="24"/>
          <w:szCs w:val="24"/>
        </w:rPr>
        <w:footnoteReference w:id="23"/>
      </w:r>
      <w:r w:rsidR="00877746" w:rsidRPr="00D212EE">
        <w:rPr>
          <w:rFonts w:asciiTheme="majorBidi" w:hAnsiTheme="majorBidi" w:cstheme="majorBidi"/>
          <w:sz w:val="24"/>
          <w:szCs w:val="24"/>
        </w:rPr>
        <w:t>. Yalnızca Tanrı’nın Mutlak olduğunu ileri sürerek, tüm insan yorumlarının ve toplumsal yapıların zorunlu olarak göreli ve geçici olduğu sonucuna varır. Bu kutsallıktan arındırma süreci, ilahi olmayan şeylerden “tabu ve kutsiyetin” kaldırılmasına imkân tanır ve böylece insanlar arasında ontolojik eşitlik için bir zemin oluşturur</w:t>
      </w:r>
      <w:r w:rsidR="006005B9" w:rsidRPr="00D212EE">
        <w:rPr>
          <w:rStyle w:val="FootnoteReference"/>
          <w:rFonts w:asciiTheme="majorBidi" w:hAnsiTheme="majorBidi" w:cstheme="majorBidi"/>
          <w:sz w:val="24"/>
          <w:szCs w:val="24"/>
        </w:rPr>
        <w:footnoteReference w:id="24"/>
      </w:r>
      <w:r w:rsidR="00877746" w:rsidRPr="00D212EE">
        <w:rPr>
          <w:rFonts w:asciiTheme="majorBidi" w:hAnsiTheme="majorBidi" w:cstheme="majorBidi"/>
          <w:sz w:val="24"/>
          <w:szCs w:val="24"/>
        </w:rPr>
        <w:t>. Bir mümin yalnızca tek ve aşkın bir Tanrı’ya “yukarı” doğru yöneliyorsa, mantıksal olarak diğer insanlara “yatay” düzlemde eşitlikçi bir bakışla yaklaşmak zorundadır. Bu nedenle çoğulculuk teolojik bir zorunluluk hâline gelir; zira gerçek birlik yalnızca Tanrı’ya ait olduğundan, yaratılmış bir varlık alanı olan insan dünyası zorunlu olarak çoklukla karakterize edilmelidir</w:t>
      </w:r>
      <w:r w:rsidR="006005B9" w:rsidRPr="00D212EE">
        <w:rPr>
          <w:rStyle w:val="FootnoteReference"/>
          <w:rFonts w:asciiTheme="majorBidi" w:hAnsiTheme="majorBidi" w:cstheme="majorBidi"/>
          <w:sz w:val="24"/>
          <w:szCs w:val="24"/>
        </w:rPr>
        <w:footnoteReference w:id="25"/>
      </w:r>
      <w:r w:rsidR="00877746"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877746" w:rsidRPr="00D212EE">
        <w:rPr>
          <w:rFonts w:asciiTheme="majorBidi" w:hAnsiTheme="majorBidi" w:cstheme="majorBidi"/>
          <w:sz w:val="24"/>
          <w:szCs w:val="24"/>
        </w:rPr>
        <w:t>’e</w:t>
      </w:r>
      <w:proofErr w:type="spellEnd"/>
      <w:r w:rsidR="00877746" w:rsidRPr="00D212EE">
        <w:rPr>
          <w:rFonts w:asciiTheme="majorBidi" w:hAnsiTheme="majorBidi" w:cstheme="majorBidi"/>
          <w:sz w:val="24"/>
          <w:szCs w:val="24"/>
        </w:rPr>
        <w:t xml:space="preserve"> göre tekçi ve totaliter bir dinî ya da siyasal düzen dayatmaya yönelik her girişim, sınırlı bir insan</w:t>
      </w:r>
      <w:r w:rsidR="00F57C70">
        <w:rPr>
          <w:rFonts w:asciiTheme="majorBidi" w:hAnsiTheme="majorBidi" w:cstheme="majorBidi"/>
          <w:sz w:val="24"/>
          <w:szCs w:val="24"/>
        </w:rPr>
        <w:t>i</w:t>
      </w:r>
      <w:r w:rsidR="00877746" w:rsidRPr="00D212EE">
        <w:rPr>
          <w:rFonts w:asciiTheme="majorBidi" w:hAnsiTheme="majorBidi" w:cstheme="majorBidi"/>
          <w:sz w:val="24"/>
          <w:szCs w:val="24"/>
        </w:rPr>
        <w:t xml:space="preserve"> yapıya </w:t>
      </w:r>
      <w:r w:rsidR="00877746" w:rsidRPr="00D212EE">
        <w:rPr>
          <w:rFonts w:asciiTheme="majorBidi" w:hAnsiTheme="majorBidi" w:cstheme="majorBidi"/>
          <w:sz w:val="24"/>
          <w:szCs w:val="24"/>
        </w:rPr>
        <w:lastRenderedPageBreak/>
        <w:t>mutlak otorite atfetmeye çalıştığı için bir tür şirk anlamına gelir</w:t>
      </w:r>
      <w:r w:rsidR="006005B9" w:rsidRPr="00D212EE">
        <w:rPr>
          <w:rStyle w:val="FootnoteReference"/>
          <w:rFonts w:asciiTheme="majorBidi" w:hAnsiTheme="majorBidi" w:cstheme="majorBidi"/>
          <w:sz w:val="24"/>
          <w:szCs w:val="24"/>
        </w:rPr>
        <w:footnoteReference w:id="26"/>
      </w:r>
      <w:r w:rsidR="00877746" w:rsidRPr="00D212EE">
        <w:rPr>
          <w:rFonts w:asciiTheme="majorBidi" w:hAnsiTheme="majorBidi" w:cstheme="majorBidi"/>
          <w:sz w:val="24"/>
          <w:szCs w:val="24"/>
        </w:rPr>
        <w:t>. Bu bağlamda Tevhid, insan özgürlüğünün ve insan tecrübesinin çeşitliliğinin nihai güvencesi olarak işlev görür.</w:t>
      </w:r>
    </w:p>
    <w:p w14:paraId="3F366D59" w14:textId="77777777" w:rsidR="00877746" w:rsidRPr="00D212EE" w:rsidRDefault="00877746" w:rsidP="00FE6A96">
      <w:pPr>
        <w:pStyle w:val="Heading3"/>
        <w:spacing w:line="360" w:lineRule="auto"/>
        <w:jc w:val="both"/>
      </w:pPr>
      <w:bookmarkStart w:id="18" w:name="_Toc218886227"/>
      <w:bookmarkStart w:id="19" w:name="_Toc218901287"/>
      <w:bookmarkStart w:id="20" w:name="_Toc219409248"/>
      <w:r w:rsidRPr="00D212EE">
        <w:t>2. Filolojik-Semantik Yaklaşım (Evrensel Teslimiyet)</w:t>
      </w:r>
      <w:bookmarkEnd w:id="18"/>
      <w:bookmarkEnd w:id="19"/>
      <w:bookmarkEnd w:id="20"/>
    </w:p>
    <w:p w14:paraId="464AD348" w14:textId="7C931EC6" w:rsidR="001A14C9" w:rsidRPr="00D212EE" w:rsidRDefault="00877746"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İkinci yaklaşım, “İslam” teriminin kendisine yönelik sofistike bir semantik genişletmeyi içerir</w:t>
      </w:r>
      <w:r w:rsidR="001A14C9" w:rsidRPr="00D212EE">
        <w:rPr>
          <w:rStyle w:val="FootnoteReference"/>
          <w:rFonts w:asciiTheme="majorBidi" w:hAnsiTheme="majorBidi" w:cstheme="majorBidi"/>
          <w:sz w:val="24"/>
          <w:szCs w:val="24"/>
        </w:rPr>
        <w:footnoteReference w:id="27"/>
      </w:r>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w:t>
      </w:r>
      <w:r w:rsidR="00F57C70">
        <w:rPr>
          <w:rFonts w:asciiTheme="majorBidi" w:hAnsiTheme="majorBidi" w:cstheme="majorBidi"/>
          <w:sz w:val="24"/>
          <w:szCs w:val="24"/>
        </w:rPr>
        <w:t>‘</w:t>
      </w:r>
      <w:r w:rsidRPr="00D212EE">
        <w:rPr>
          <w:rFonts w:asciiTheme="majorBidi" w:hAnsiTheme="majorBidi" w:cstheme="majorBidi"/>
          <w:sz w:val="24"/>
          <w:szCs w:val="24"/>
        </w:rPr>
        <w:t>İslam</w:t>
      </w:r>
      <w:r w:rsidR="00F57C70">
        <w:rPr>
          <w:rFonts w:asciiTheme="majorBidi" w:hAnsiTheme="majorBidi" w:cstheme="majorBidi"/>
          <w:sz w:val="24"/>
          <w:szCs w:val="24"/>
        </w:rPr>
        <w:t>’</w:t>
      </w:r>
      <w:r w:rsidRPr="00D212EE">
        <w:rPr>
          <w:rFonts w:asciiTheme="majorBidi" w:hAnsiTheme="majorBidi" w:cstheme="majorBidi"/>
          <w:sz w:val="24"/>
          <w:szCs w:val="24"/>
        </w:rPr>
        <w:t xml:space="preserve">ı dar ve tarihsel olarak sınırlandırılmış bir </w:t>
      </w:r>
      <w:proofErr w:type="spellStart"/>
      <w:r w:rsidRPr="00D212EE">
        <w:rPr>
          <w:rFonts w:asciiTheme="majorBidi" w:hAnsiTheme="majorBidi" w:cstheme="majorBidi"/>
          <w:sz w:val="24"/>
          <w:szCs w:val="24"/>
        </w:rPr>
        <w:t>itikadî</w:t>
      </w:r>
      <w:proofErr w:type="spellEnd"/>
      <w:r w:rsidRPr="00D212EE">
        <w:rPr>
          <w:rFonts w:asciiTheme="majorBidi" w:hAnsiTheme="majorBidi" w:cstheme="majorBidi"/>
          <w:sz w:val="24"/>
          <w:szCs w:val="24"/>
        </w:rPr>
        <w:t xml:space="preserve"> kimlik olarak ele alan anlayış ile </w:t>
      </w:r>
      <w:r w:rsidR="00F57C70">
        <w:rPr>
          <w:rFonts w:asciiTheme="majorBidi" w:hAnsiTheme="majorBidi" w:cstheme="majorBidi"/>
          <w:sz w:val="24"/>
          <w:szCs w:val="24"/>
        </w:rPr>
        <w:t>‘</w:t>
      </w:r>
      <w:r w:rsidR="001A14C9" w:rsidRPr="00D212EE">
        <w:rPr>
          <w:rFonts w:asciiTheme="majorBidi" w:hAnsiTheme="majorBidi" w:cstheme="majorBidi"/>
          <w:sz w:val="24"/>
          <w:szCs w:val="24"/>
        </w:rPr>
        <w:t>İslam’ı</w:t>
      </w:r>
      <w:r w:rsidRPr="00D212EE">
        <w:rPr>
          <w:rFonts w:asciiTheme="majorBidi" w:hAnsiTheme="majorBidi" w:cstheme="majorBidi"/>
          <w:sz w:val="24"/>
          <w:szCs w:val="24"/>
        </w:rPr>
        <w:t xml:space="preserve"> Yüce </w:t>
      </w:r>
      <w:r w:rsidR="001A14C9" w:rsidRPr="00D212EE">
        <w:rPr>
          <w:rFonts w:asciiTheme="majorBidi" w:hAnsiTheme="majorBidi" w:cstheme="majorBidi"/>
          <w:sz w:val="24"/>
          <w:szCs w:val="24"/>
        </w:rPr>
        <w:t>Allah’a</w:t>
      </w:r>
      <w:r w:rsidRPr="00D212EE">
        <w:rPr>
          <w:rFonts w:asciiTheme="majorBidi" w:hAnsiTheme="majorBidi" w:cstheme="majorBidi"/>
          <w:sz w:val="24"/>
          <w:szCs w:val="24"/>
        </w:rPr>
        <w:t xml:space="preserve"> evrensel ve ilksel bir teslimiyet tutumu olarak tanımlayan anlayış arasında ayrım yapar</w:t>
      </w:r>
      <w:r w:rsidR="001A14C9" w:rsidRPr="00D212EE">
        <w:rPr>
          <w:rStyle w:val="FootnoteReference"/>
          <w:rFonts w:asciiTheme="majorBidi" w:hAnsiTheme="majorBidi" w:cstheme="majorBidi"/>
          <w:sz w:val="24"/>
          <w:szCs w:val="24"/>
        </w:rPr>
        <w:footnoteReference w:id="28"/>
      </w:r>
      <w:r w:rsidRPr="00D212EE">
        <w:rPr>
          <w:rFonts w:asciiTheme="majorBidi" w:hAnsiTheme="majorBidi" w:cstheme="majorBidi"/>
          <w:sz w:val="24"/>
          <w:szCs w:val="24"/>
        </w:rPr>
        <w:t xml:space="preserve">. </w:t>
      </w:r>
    </w:p>
    <w:p w14:paraId="4F45B889" w14:textId="1D7DEDF7" w:rsidR="001A14C9" w:rsidRPr="00D212EE" w:rsidRDefault="001A14C9"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اِنَّ الدّٖينَ عِنْدَ اللّٰهِ الْاِسْلَامُ۠ وَمَا اخْتَلَفَ الَّذٖينَ اُو۫تُوا الْكِتَابَ اِلَّا مِنْ بَعْدِ مَا جَٓاءَهُمُ الْعِلْمُ بَغْيًا بَيْنَهُمْۜ وَمَنْ يَكْفُرْ بِاٰيَاتِ اللّٰهِ فَاِنَّ اللّٰهَ سَرٖيعُ الْحِسَابِ</w:t>
      </w:r>
    </w:p>
    <w:p w14:paraId="6631FA28" w14:textId="45C62E3D" w:rsidR="001A14C9"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1A14C9" w:rsidRPr="00D212EE">
        <w:rPr>
          <w:rFonts w:asciiTheme="majorBidi" w:hAnsiTheme="majorBidi" w:cstheme="majorBidi"/>
          <w:sz w:val="24"/>
          <w:szCs w:val="24"/>
        </w:rPr>
        <w:t xml:space="preserve">Kuşkusuz Allah katında din İslâm’dır. Kitap verilenler, ancak kendilerine ilim geldikten sonradır ki, aralarındaki hak tanımazlık yüzünden ayrılığa düştüler. Allah’ın </w:t>
      </w:r>
      <w:proofErr w:type="spellStart"/>
      <w:r w:rsidR="001A14C9" w:rsidRPr="00D212EE">
        <w:rPr>
          <w:rFonts w:asciiTheme="majorBidi" w:hAnsiTheme="majorBidi" w:cstheme="majorBidi"/>
          <w:sz w:val="24"/>
          <w:szCs w:val="24"/>
        </w:rPr>
        <w:t>âyetlerini</w:t>
      </w:r>
      <w:proofErr w:type="spellEnd"/>
      <w:r w:rsidR="001A14C9" w:rsidRPr="00D212EE">
        <w:rPr>
          <w:rFonts w:asciiTheme="majorBidi" w:hAnsiTheme="majorBidi" w:cstheme="majorBidi"/>
          <w:sz w:val="24"/>
          <w:szCs w:val="24"/>
        </w:rPr>
        <w:t xml:space="preserve"> inkâr edenler bilmelidirler ki Allah’ın hesabı çok çabuktur</w:t>
      </w:r>
      <w:r>
        <w:rPr>
          <w:rFonts w:asciiTheme="majorBidi" w:hAnsiTheme="majorBidi" w:cstheme="majorBidi"/>
          <w:sz w:val="24"/>
          <w:szCs w:val="24"/>
        </w:rPr>
        <w:t>.”</w:t>
      </w:r>
      <w:r w:rsidR="001A14C9" w:rsidRPr="00D212EE">
        <w:rPr>
          <w:rStyle w:val="FootnoteReference"/>
          <w:rFonts w:asciiTheme="majorBidi" w:hAnsiTheme="majorBidi" w:cstheme="majorBidi"/>
          <w:sz w:val="24"/>
          <w:szCs w:val="24"/>
        </w:rPr>
        <w:footnoteReference w:id="29"/>
      </w:r>
    </w:p>
    <w:p w14:paraId="67D55908" w14:textId="65EEED5C" w:rsidR="001A14C9" w:rsidRPr="00D212EE" w:rsidRDefault="001A14C9"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وَمَنْ يَبْتَغِ غَيْرَ الْاِسْلَامِ دٖينًا فَلَنْ يُقْبَلَ مِنْهُۚ وَهُوَ فِى الْاٰخِرَةِ مِنَ الْخَاسِرٖينَ</w:t>
      </w:r>
    </w:p>
    <w:p w14:paraId="68207446" w14:textId="79CEBEF6" w:rsidR="001A14C9"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1A14C9" w:rsidRPr="00D212EE">
        <w:rPr>
          <w:rFonts w:asciiTheme="majorBidi" w:hAnsiTheme="majorBidi" w:cstheme="majorBidi"/>
          <w:sz w:val="24"/>
          <w:szCs w:val="24"/>
        </w:rPr>
        <w:t xml:space="preserve">Kim İslâm’dan başka bir din arama çabası içine girerse, bilsin ki bu kendisinden asla kabul edilmeyecek ve o </w:t>
      </w:r>
      <w:proofErr w:type="spellStart"/>
      <w:r w:rsidR="001A14C9" w:rsidRPr="00D212EE">
        <w:rPr>
          <w:rFonts w:asciiTheme="majorBidi" w:hAnsiTheme="majorBidi" w:cstheme="majorBidi"/>
          <w:sz w:val="24"/>
          <w:szCs w:val="24"/>
        </w:rPr>
        <w:t>âhirette</w:t>
      </w:r>
      <w:proofErr w:type="spellEnd"/>
      <w:r w:rsidR="001A14C9" w:rsidRPr="00D212EE">
        <w:rPr>
          <w:rFonts w:asciiTheme="majorBidi" w:hAnsiTheme="majorBidi" w:cstheme="majorBidi"/>
          <w:sz w:val="24"/>
          <w:szCs w:val="24"/>
        </w:rPr>
        <w:t xml:space="preserve"> ziyan edenlerden olacaktır</w:t>
      </w:r>
      <w:r>
        <w:rPr>
          <w:rFonts w:asciiTheme="majorBidi" w:hAnsiTheme="majorBidi" w:cstheme="majorBidi"/>
          <w:sz w:val="24"/>
          <w:szCs w:val="24"/>
        </w:rPr>
        <w:t>”</w:t>
      </w:r>
      <w:r w:rsidR="00AE7D74" w:rsidRPr="00D212EE">
        <w:rPr>
          <w:rStyle w:val="FootnoteReference"/>
          <w:rFonts w:asciiTheme="majorBidi" w:hAnsiTheme="majorBidi" w:cstheme="majorBidi"/>
          <w:sz w:val="24"/>
          <w:szCs w:val="24"/>
        </w:rPr>
        <w:footnoteReference w:id="30"/>
      </w:r>
      <w:r w:rsidR="001A14C9" w:rsidRPr="00D212EE">
        <w:rPr>
          <w:rFonts w:asciiTheme="majorBidi" w:hAnsiTheme="majorBidi" w:cstheme="majorBidi"/>
          <w:sz w:val="24"/>
          <w:szCs w:val="24"/>
        </w:rPr>
        <w:t>.</w:t>
      </w:r>
    </w:p>
    <w:p w14:paraId="260DCC78" w14:textId="001CE2FE" w:rsidR="00877746" w:rsidRPr="00D212EE" w:rsidRDefault="00597A56"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Yukarıda</w:t>
      </w:r>
      <w:r w:rsidR="00AE7D74" w:rsidRPr="00D212EE">
        <w:rPr>
          <w:rFonts w:asciiTheme="majorBidi" w:hAnsiTheme="majorBidi" w:cstheme="majorBidi"/>
          <w:sz w:val="24"/>
          <w:szCs w:val="24"/>
        </w:rPr>
        <w:t xml:space="preserve"> verilen </w:t>
      </w:r>
      <w:r w:rsidRPr="00D212EE">
        <w:rPr>
          <w:rFonts w:asciiTheme="majorBidi" w:hAnsiTheme="majorBidi" w:cstheme="majorBidi"/>
          <w:sz w:val="24"/>
          <w:szCs w:val="24"/>
        </w:rPr>
        <w:t>ayetler</w:t>
      </w:r>
      <w:r w:rsidR="00AE7D74" w:rsidRPr="00D212EE">
        <w:rPr>
          <w:rFonts w:asciiTheme="majorBidi" w:hAnsiTheme="majorBidi" w:cstheme="majorBidi"/>
          <w:sz w:val="24"/>
          <w:szCs w:val="24"/>
        </w:rPr>
        <w:t xml:space="preserve"> </w:t>
      </w:r>
      <w:r w:rsidR="00877746" w:rsidRPr="00D212EE">
        <w:rPr>
          <w:rFonts w:asciiTheme="majorBidi" w:hAnsiTheme="majorBidi" w:cstheme="majorBidi"/>
          <w:sz w:val="24"/>
          <w:szCs w:val="24"/>
        </w:rPr>
        <w:t>gibi Kur’an</w:t>
      </w:r>
      <w:r w:rsidR="00AE7D74" w:rsidRPr="00D212EE">
        <w:rPr>
          <w:rFonts w:asciiTheme="majorBidi" w:hAnsiTheme="majorBidi" w:cstheme="majorBidi"/>
          <w:sz w:val="24"/>
          <w:szCs w:val="24"/>
        </w:rPr>
        <w:t xml:space="preserve">’a </w:t>
      </w:r>
      <w:r w:rsidR="00877746" w:rsidRPr="00D212EE">
        <w:rPr>
          <w:rFonts w:asciiTheme="majorBidi" w:hAnsiTheme="majorBidi" w:cstheme="majorBidi"/>
          <w:sz w:val="24"/>
          <w:szCs w:val="24"/>
        </w:rPr>
        <w:t>dayanarak, Tanrı katında makbul olan gerçek dinin bu genel teslimiyet hâli olduğunu ve bunun Hz. Muhammed’den önceki tüm peygamberlerin öğretilerinin özünü teşkil ettiğini ileri sürer</w:t>
      </w:r>
      <w:r w:rsidR="00AE7D74" w:rsidRPr="00D212EE">
        <w:rPr>
          <w:rStyle w:val="FootnoteReference"/>
          <w:rFonts w:asciiTheme="majorBidi" w:hAnsiTheme="majorBidi" w:cstheme="majorBidi"/>
          <w:sz w:val="24"/>
          <w:szCs w:val="24"/>
        </w:rPr>
        <w:footnoteReference w:id="31"/>
      </w:r>
      <w:r w:rsidR="00877746" w:rsidRPr="00D212EE">
        <w:rPr>
          <w:rFonts w:asciiTheme="majorBidi" w:hAnsiTheme="majorBidi" w:cstheme="majorBidi"/>
          <w:sz w:val="24"/>
          <w:szCs w:val="24"/>
        </w:rPr>
        <w:t xml:space="preserve">. Bu filolojik yeniden tanımlama, </w:t>
      </w:r>
      <w:proofErr w:type="spellStart"/>
      <w:r w:rsidR="00031206" w:rsidRPr="00D212EE">
        <w:rPr>
          <w:rFonts w:asciiTheme="majorBidi" w:hAnsiTheme="majorBidi" w:cstheme="majorBidi"/>
          <w:sz w:val="24"/>
          <w:szCs w:val="24"/>
        </w:rPr>
        <w:t>Mâcid</w:t>
      </w:r>
      <w:r w:rsidR="00877746" w:rsidRPr="00D212EE">
        <w:rPr>
          <w:rFonts w:asciiTheme="majorBidi" w:hAnsiTheme="majorBidi" w:cstheme="majorBidi"/>
          <w:sz w:val="24"/>
          <w:szCs w:val="24"/>
        </w:rPr>
        <w:t>’in</w:t>
      </w:r>
      <w:proofErr w:type="spellEnd"/>
      <w:r w:rsidR="00877746" w:rsidRPr="00D212EE">
        <w:rPr>
          <w:rFonts w:asciiTheme="majorBidi" w:hAnsiTheme="majorBidi" w:cstheme="majorBidi"/>
          <w:sz w:val="24"/>
          <w:szCs w:val="24"/>
        </w:rPr>
        <w:t xml:space="preserve"> </w:t>
      </w:r>
      <w:r w:rsidR="00AE7D74" w:rsidRPr="00D212EE">
        <w:rPr>
          <w:rFonts w:asciiTheme="majorBidi" w:hAnsiTheme="majorBidi" w:cstheme="majorBidi"/>
          <w:sz w:val="24"/>
          <w:szCs w:val="24"/>
        </w:rPr>
        <w:t>İslam’ı</w:t>
      </w:r>
      <w:r w:rsidR="00877746" w:rsidRPr="00D212EE">
        <w:rPr>
          <w:rFonts w:asciiTheme="majorBidi" w:hAnsiTheme="majorBidi" w:cstheme="majorBidi"/>
          <w:sz w:val="24"/>
          <w:szCs w:val="24"/>
        </w:rPr>
        <w:t xml:space="preserve"> insanî gelişimin doğal hâli </w:t>
      </w:r>
      <w:r w:rsidR="00AE7D74" w:rsidRPr="00D212EE">
        <w:rPr>
          <w:rFonts w:asciiTheme="majorBidi" w:hAnsiTheme="majorBidi" w:cstheme="majorBidi"/>
          <w:sz w:val="24"/>
          <w:szCs w:val="24"/>
        </w:rPr>
        <w:t xml:space="preserve">yani </w:t>
      </w:r>
      <w:r w:rsidR="00877746" w:rsidRPr="00D212EE">
        <w:rPr>
          <w:rFonts w:asciiTheme="majorBidi" w:hAnsiTheme="majorBidi" w:cstheme="majorBidi"/>
          <w:sz w:val="24"/>
          <w:szCs w:val="24"/>
        </w:rPr>
        <w:t xml:space="preserve">fıtrat olarak konumlandırmasına imkân tanır; bu da samimi bir teslimiyeti somutlaştıran her inanç geleneğinin ilahi tanınırlık kapsamına girebileceği anlamına gelir. Kelimenin tarihsel olarak koşullanmış “etiketleri” yerine “özünü” merkeze alarak, Hinduizm ve Budizm gibi </w:t>
      </w:r>
      <w:proofErr w:type="spellStart"/>
      <w:r w:rsidR="00877746" w:rsidRPr="00D212EE">
        <w:rPr>
          <w:rFonts w:asciiTheme="majorBidi" w:hAnsiTheme="majorBidi" w:cstheme="majorBidi"/>
          <w:sz w:val="24"/>
          <w:szCs w:val="24"/>
        </w:rPr>
        <w:t>İbrahimî</w:t>
      </w:r>
      <w:proofErr w:type="spellEnd"/>
      <w:r w:rsidR="00877746" w:rsidRPr="00D212EE">
        <w:rPr>
          <w:rFonts w:asciiTheme="majorBidi" w:hAnsiTheme="majorBidi" w:cstheme="majorBidi"/>
          <w:sz w:val="24"/>
          <w:szCs w:val="24"/>
        </w:rPr>
        <w:t xml:space="preserve"> olmayan gelenekleri de kapsayacak biçimde </w:t>
      </w:r>
      <w:proofErr w:type="spellStart"/>
      <w:r w:rsidR="00877746" w:rsidRPr="00D212EE">
        <w:rPr>
          <w:rFonts w:asciiTheme="majorBidi" w:hAnsiTheme="majorBidi" w:cstheme="majorBidi"/>
          <w:sz w:val="24"/>
          <w:szCs w:val="24"/>
        </w:rPr>
        <w:t>Ehl</w:t>
      </w:r>
      <w:proofErr w:type="spellEnd"/>
      <w:r w:rsidR="00877746" w:rsidRPr="00D212EE">
        <w:rPr>
          <w:rFonts w:asciiTheme="majorBidi" w:hAnsiTheme="majorBidi" w:cstheme="majorBidi"/>
          <w:sz w:val="24"/>
          <w:szCs w:val="24"/>
        </w:rPr>
        <w:t>-i Kitap kategorisinin genişletilmesini mümkün görür</w:t>
      </w:r>
      <w:r w:rsidR="00B36567" w:rsidRPr="00D212EE">
        <w:rPr>
          <w:rFonts w:asciiTheme="majorBidi" w:hAnsiTheme="majorBidi" w:cstheme="majorBidi"/>
          <w:sz w:val="24"/>
          <w:szCs w:val="24"/>
        </w:rPr>
        <w:t xml:space="preserve">. Bu görüşünü, peygamberliğin evrenselliğine ve Kur’an’da her </w:t>
      </w:r>
      <w:r w:rsidR="00B36567" w:rsidRPr="00D212EE">
        <w:rPr>
          <w:rFonts w:asciiTheme="majorBidi" w:hAnsiTheme="majorBidi" w:cstheme="majorBidi"/>
          <w:sz w:val="24"/>
          <w:szCs w:val="24"/>
        </w:rPr>
        <w:lastRenderedPageBreak/>
        <w:t>topluma elçi gönderildiğine dair ifadelere dayandırmıştır.</w:t>
      </w:r>
      <w:r w:rsidR="00AE7D74" w:rsidRPr="00D212EE">
        <w:rPr>
          <w:rStyle w:val="FootnoteReference"/>
          <w:rFonts w:asciiTheme="majorBidi" w:hAnsiTheme="majorBidi" w:cstheme="majorBidi"/>
          <w:sz w:val="24"/>
          <w:szCs w:val="24"/>
        </w:rPr>
        <w:footnoteReference w:id="32"/>
      </w:r>
      <w:r w:rsidR="00877746" w:rsidRPr="00D212EE">
        <w:rPr>
          <w:rFonts w:asciiTheme="majorBidi" w:hAnsiTheme="majorBidi" w:cstheme="majorBidi"/>
          <w:sz w:val="24"/>
          <w:szCs w:val="24"/>
        </w:rPr>
        <w:t>. Bu kapsayıcı hermenötik, İslam’ı dinler arası bir rekabet unsuru olmaktan çıkarıp ahlak, adalet ve barış için verilen daha geniş insanî mücadelenin bir ortağı hâline getirir.</w:t>
      </w:r>
    </w:p>
    <w:p w14:paraId="4C1B2F9C" w14:textId="77777777" w:rsidR="00877746" w:rsidRPr="00D212EE" w:rsidRDefault="00877746" w:rsidP="00FE6A96">
      <w:pPr>
        <w:pStyle w:val="Heading3"/>
        <w:spacing w:line="360" w:lineRule="auto"/>
        <w:jc w:val="both"/>
      </w:pPr>
      <w:bookmarkStart w:id="21" w:name="_Toc218886228"/>
      <w:bookmarkStart w:id="22" w:name="_Toc218901288"/>
      <w:bookmarkStart w:id="23" w:name="_Toc219409249"/>
      <w:r w:rsidRPr="00D212EE">
        <w:t xml:space="preserve">3. </w:t>
      </w:r>
      <w:proofErr w:type="spellStart"/>
      <w:r w:rsidRPr="00D212EE">
        <w:t>Sosyo</w:t>
      </w:r>
      <w:proofErr w:type="spellEnd"/>
      <w:r w:rsidRPr="00D212EE">
        <w:t>-Tarihsel Yaklaşım (Medine Paradigması)</w:t>
      </w:r>
      <w:bookmarkEnd w:id="21"/>
      <w:bookmarkEnd w:id="22"/>
      <w:bookmarkEnd w:id="23"/>
    </w:p>
    <w:p w14:paraId="77111FA4" w14:textId="0B8CE8F6" w:rsidR="00F477D4" w:rsidRPr="00D212EE" w:rsidRDefault="00877746"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Son olarak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çoğulculuk anlayışını erken İslam toplumunun </w:t>
      </w:r>
      <w:proofErr w:type="spellStart"/>
      <w:r w:rsidRPr="00D212EE">
        <w:rPr>
          <w:rFonts w:asciiTheme="majorBidi" w:hAnsiTheme="majorBidi" w:cstheme="majorBidi"/>
          <w:sz w:val="24"/>
          <w:szCs w:val="24"/>
        </w:rPr>
        <w:t>sosyo</w:t>
      </w:r>
      <w:proofErr w:type="spellEnd"/>
      <w:r w:rsidRPr="00D212EE">
        <w:rPr>
          <w:rFonts w:asciiTheme="majorBidi" w:hAnsiTheme="majorBidi" w:cstheme="majorBidi"/>
          <w:sz w:val="24"/>
          <w:szCs w:val="24"/>
        </w:rPr>
        <w:t xml:space="preserve">-tarihsel bir analizi ve </w:t>
      </w:r>
      <w:proofErr w:type="spellStart"/>
      <w:r w:rsidRPr="00D212EE">
        <w:rPr>
          <w:rFonts w:asciiTheme="majorBidi" w:hAnsiTheme="majorBidi" w:cstheme="majorBidi"/>
          <w:sz w:val="24"/>
          <w:szCs w:val="24"/>
        </w:rPr>
        <w:t>sünnetullah</w:t>
      </w:r>
      <w:proofErr w:type="spellEnd"/>
      <w:r w:rsidRPr="00D212EE">
        <w:rPr>
          <w:rFonts w:asciiTheme="majorBidi" w:hAnsiTheme="majorBidi" w:cstheme="majorBidi"/>
          <w:sz w:val="24"/>
          <w:szCs w:val="24"/>
        </w:rPr>
        <w:t xml:space="preserve"> ilkesi üzerinden inşa eder</w:t>
      </w:r>
      <w:r w:rsidR="00DA08B3" w:rsidRPr="00D212EE">
        <w:rPr>
          <w:rStyle w:val="FootnoteReference"/>
          <w:rFonts w:asciiTheme="majorBidi" w:hAnsiTheme="majorBidi" w:cstheme="majorBidi"/>
          <w:sz w:val="24"/>
          <w:szCs w:val="24"/>
        </w:rPr>
        <w:footnoteReference w:id="33"/>
      </w:r>
      <w:r w:rsidRPr="00D212EE">
        <w:rPr>
          <w:rFonts w:asciiTheme="majorBidi" w:hAnsiTheme="majorBidi" w:cstheme="majorBidi"/>
          <w:sz w:val="24"/>
          <w:szCs w:val="24"/>
        </w:rPr>
        <w:t>. Dinî çeşitliliğin geçici bir tarihsel sapma değil, karşılıklı tanışmayı ve ahlaki rekabeti (li-</w:t>
      </w:r>
      <w:proofErr w:type="spellStart"/>
      <w:proofErr w:type="gramStart"/>
      <w:r w:rsidRPr="00D212EE">
        <w:rPr>
          <w:rFonts w:asciiTheme="majorBidi" w:hAnsiTheme="majorBidi" w:cstheme="majorBidi"/>
          <w:sz w:val="24"/>
          <w:szCs w:val="24"/>
        </w:rPr>
        <w:t>ta‘</w:t>
      </w:r>
      <w:proofErr w:type="gramEnd"/>
      <w:r w:rsidR="00F57C70">
        <w:rPr>
          <w:rFonts w:asciiTheme="majorBidi" w:hAnsiTheme="majorBidi" w:cstheme="majorBidi"/>
          <w:sz w:val="24"/>
          <w:szCs w:val="24"/>
        </w:rPr>
        <w:t>a</w:t>
      </w:r>
      <w:r w:rsidRPr="00D212EE">
        <w:rPr>
          <w:rFonts w:asciiTheme="majorBidi" w:hAnsiTheme="majorBidi" w:cstheme="majorBidi"/>
          <w:sz w:val="24"/>
          <w:szCs w:val="24"/>
        </w:rPr>
        <w:t>raf</w:t>
      </w:r>
      <w:r w:rsidR="00F57C70">
        <w:rPr>
          <w:rFonts w:asciiTheme="majorBidi" w:hAnsiTheme="majorBidi" w:cstheme="majorBidi"/>
          <w:sz w:val="24"/>
          <w:szCs w:val="24"/>
        </w:rPr>
        <w:t>u</w:t>
      </w:r>
      <w:proofErr w:type="spellEnd"/>
      <w:r w:rsidRPr="00D212EE">
        <w:rPr>
          <w:rFonts w:asciiTheme="majorBidi" w:hAnsiTheme="majorBidi" w:cstheme="majorBidi"/>
          <w:sz w:val="24"/>
          <w:szCs w:val="24"/>
        </w:rPr>
        <w:t xml:space="preserve">) teşvik etmek üzere ilahi irade tarafından murat edilmiş bir nimet olduğunu savunur. Medine </w:t>
      </w:r>
      <w:proofErr w:type="spellStart"/>
      <w:r w:rsidRPr="00D212EE">
        <w:rPr>
          <w:rFonts w:asciiTheme="majorBidi" w:hAnsiTheme="majorBidi" w:cstheme="majorBidi"/>
          <w:sz w:val="24"/>
          <w:szCs w:val="24"/>
        </w:rPr>
        <w:t>Vesikası’nı</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Mîsâk</w:t>
      </w:r>
      <w:proofErr w:type="spellEnd"/>
      <w:r w:rsidRPr="00D212EE">
        <w:rPr>
          <w:rFonts w:asciiTheme="majorBidi" w:hAnsiTheme="majorBidi" w:cstheme="majorBidi"/>
          <w:sz w:val="24"/>
          <w:szCs w:val="24"/>
        </w:rPr>
        <w:t>-ı Medine), çoğulculuğu ve din özgürlüğünü kurumsallaştıran, farklı grupların tek bir siyasal yapı içinde bir arada yaşamasını mümkün kılan ilk resmî siyasal belge olarak örnek gösterir</w:t>
      </w:r>
      <w:r w:rsidR="00DA08B3" w:rsidRPr="00D212EE">
        <w:rPr>
          <w:rStyle w:val="FootnoteReference"/>
          <w:rFonts w:asciiTheme="majorBidi" w:hAnsiTheme="majorBidi" w:cstheme="majorBidi"/>
          <w:sz w:val="24"/>
          <w:szCs w:val="24"/>
        </w:rPr>
        <w:footnoteReference w:id="34"/>
      </w:r>
      <w:r w:rsidRPr="00D212EE">
        <w:rPr>
          <w:rFonts w:asciiTheme="majorBidi" w:hAnsiTheme="majorBidi" w:cstheme="majorBidi"/>
          <w:sz w:val="24"/>
          <w:szCs w:val="24"/>
        </w:rPr>
        <w:t xml:space="preserve">. Hocası </w:t>
      </w:r>
      <w:proofErr w:type="spellStart"/>
      <w:r w:rsidRPr="00D212EE">
        <w:rPr>
          <w:rFonts w:asciiTheme="majorBidi" w:hAnsiTheme="majorBidi" w:cstheme="majorBidi"/>
          <w:sz w:val="24"/>
          <w:szCs w:val="24"/>
        </w:rPr>
        <w:t>Fazlur</w:t>
      </w:r>
      <w:proofErr w:type="spellEnd"/>
      <w:r w:rsidRPr="00D212EE">
        <w:rPr>
          <w:rFonts w:asciiTheme="majorBidi" w:hAnsiTheme="majorBidi" w:cstheme="majorBidi"/>
          <w:sz w:val="24"/>
          <w:szCs w:val="24"/>
        </w:rPr>
        <w:t xml:space="preserve"> Rahman’ın etkisiyle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“çifte hareket” hermenötiğini kullanarak 7. yüzyıl Hicaz’ına özgü somut hukukî düzenlemeler ile bunların arkasındaki evrensel ahlaki idealler arasında ayrım yapar</w:t>
      </w:r>
      <w:r w:rsidR="00DA08B3" w:rsidRPr="00D212EE">
        <w:rPr>
          <w:rStyle w:val="FootnoteReference"/>
          <w:rFonts w:asciiTheme="majorBidi" w:hAnsiTheme="majorBidi" w:cstheme="majorBidi"/>
          <w:sz w:val="24"/>
          <w:szCs w:val="24"/>
        </w:rPr>
        <w:footnoteReference w:id="35"/>
      </w:r>
      <w:r w:rsidRPr="00D212EE">
        <w:rPr>
          <w:rFonts w:asciiTheme="majorBidi" w:hAnsiTheme="majorBidi" w:cstheme="majorBidi"/>
          <w:sz w:val="24"/>
          <w:szCs w:val="24"/>
        </w:rPr>
        <w:t xml:space="preserve">. Bu ideallerin modern bağlamda “yeniden </w:t>
      </w:r>
      <w:proofErr w:type="spellStart"/>
      <w:r w:rsidRPr="00D212EE">
        <w:rPr>
          <w:rFonts w:asciiTheme="majorBidi" w:hAnsiTheme="majorBidi" w:cstheme="majorBidi"/>
          <w:sz w:val="24"/>
          <w:szCs w:val="24"/>
        </w:rPr>
        <w:t>aktüelleştirilmesini</w:t>
      </w:r>
      <w:proofErr w:type="spellEnd"/>
      <w:r w:rsidRPr="00D212EE">
        <w:rPr>
          <w:rFonts w:asciiTheme="majorBidi" w:hAnsiTheme="majorBidi" w:cstheme="majorBidi"/>
          <w:sz w:val="24"/>
          <w:szCs w:val="24"/>
        </w:rPr>
        <w:t xml:space="preserve">” savunur ve Endonezya devlet ideolojisi olan </w:t>
      </w:r>
      <w:proofErr w:type="spellStart"/>
      <w:r w:rsidRPr="00D212EE">
        <w:rPr>
          <w:rFonts w:asciiTheme="majorBidi" w:hAnsiTheme="majorBidi" w:cstheme="majorBidi"/>
          <w:sz w:val="24"/>
          <w:szCs w:val="24"/>
        </w:rPr>
        <w:t>Pancasila’yı</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Âl</w:t>
      </w:r>
      <w:proofErr w:type="spellEnd"/>
      <w:r w:rsidRPr="00D212EE">
        <w:rPr>
          <w:rFonts w:asciiTheme="majorBidi" w:hAnsiTheme="majorBidi" w:cstheme="majorBidi"/>
          <w:sz w:val="24"/>
          <w:szCs w:val="24"/>
        </w:rPr>
        <w:t xml:space="preserve">-i İmrân 3:64’te geçen </w:t>
      </w:r>
      <w:proofErr w:type="spellStart"/>
      <w:r w:rsidRPr="00D212EE">
        <w:rPr>
          <w:rFonts w:asciiTheme="majorBidi" w:hAnsiTheme="majorBidi" w:cstheme="majorBidi"/>
          <w:sz w:val="24"/>
          <w:szCs w:val="24"/>
        </w:rPr>
        <w:t>kelim</w:t>
      </w:r>
      <w:r w:rsidR="00DB4CCA" w:rsidRPr="00D212EE">
        <w:rPr>
          <w:rFonts w:asciiTheme="majorBidi" w:hAnsiTheme="majorBidi" w:cstheme="majorBidi"/>
          <w:sz w:val="24"/>
          <w:szCs w:val="24"/>
        </w:rPr>
        <w:t>a</w:t>
      </w:r>
      <w:r w:rsidRPr="00D212EE">
        <w:rPr>
          <w:rFonts w:asciiTheme="majorBidi" w:hAnsiTheme="majorBidi" w:cstheme="majorBidi"/>
          <w:sz w:val="24"/>
          <w:szCs w:val="24"/>
        </w:rPr>
        <w:t>tün</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sevâ</w:t>
      </w:r>
      <w:proofErr w:type="spellEnd"/>
      <w:r w:rsidRPr="00D212EE">
        <w:rPr>
          <w:rFonts w:asciiTheme="majorBidi" w:hAnsiTheme="majorBidi" w:cstheme="majorBidi"/>
          <w:sz w:val="24"/>
          <w:szCs w:val="24"/>
        </w:rPr>
        <w:t xml:space="preserve"> (ortak zemin) ilkesinin çağdaş bir tezahürü olarak değerlendirir</w:t>
      </w:r>
      <w:r w:rsidR="00DA08B3" w:rsidRPr="00D212EE">
        <w:rPr>
          <w:rStyle w:val="FootnoteReference"/>
          <w:rFonts w:asciiTheme="majorBidi" w:hAnsiTheme="majorBidi" w:cstheme="majorBidi"/>
          <w:sz w:val="24"/>
          <w:szCs w:val="24"/>
        </w:rPr>
        <w:footnoteReference w:id="36"/>
      </w:r>
      <w:r w:rsidRPr="00D212EE">
        <w:rPr>
          <w:rFonts w:asciiTheme="majorBidi" w:hAnsiTheme="majorBidi" w:cstheme="majorBidi"/>
          <w:sz w:val="24"/>
          <w:szCs w:val="24"/>
        </w:rPr>
        <w:t>. Bu yaklaşım, dinden dönme ya da azınlık statüsüne ilişkin klasik fıkıh hükümleri gibi tarihsel yorumları kutsallıktan arındırır; bunların kendi dönemlerinin koşullu ürünleri olduğunu ve modern, çoğulcu bir sivil toplumu destekleyen değerlerle ikame edilmeleri gerektiğini ileri sürer</w:t>
      </w:r>
      <w:r w:rsidR="00DA08B3" w:rsidRPr="00D212EE">
        <w:rPr>
          <w:rStyle w:val="FootnoteReference"/>
          <w:rFonts w:asciiTheme="majorBidi" w:hAnsiTheme="majorBidi" w:cstheme="majorBidi"/>
          <w:sz w:val="24"/>
          <w:szCs w:val="24"/>
        </w:rPr>
        <w:footnoteReference w:id="37"/>
      </w:r>
      <w:r w:rsidRPr="00D212EE">
        <w:rPr>
          <w:rFonts w:asciiTheme="majorBidi" w:hAnsiTheme="majorBidi" w:cstheme="majorBidi"/>
          <w:sz w:val="24"/>
          <w:szCs w:val="24"/>
        </w:rPr>
        <w:t xml:space="preserve">. </w:t>
      </w:r>
    </w:p>
    <w:p w14:paraId="48E9D72A" w14:textId="34C988E5" w:rsidR="00F477D4" w:rsidRPr="00D212EE" w:rsidRDefault="00B36567"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Sonuç olarak,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için çoğulculuk, Allah'ın insanlığı özellikle birbirlerini tanımaları için çeşitli milletler ve kabileler halinde yarattığı </w:t>
      </w:r>
      <w:proofErr w:type="spellStart"/>
      <w:r w:rsidRPr="00D212EE">
        <w:rPr>
          <w:rFonts w:asciiTheme="majorBidi" w:hAnsiTheme="majorBidi" w:cstheme="majorBidi"/>
          <w:sz w:val="24"/>
          <w:szCs w:val="24"/>
        </w:rPr>
        <w:t>Kur'anî</w:t>
      </w:r>
      <w:proofErr w:type="spellEnd"/>
      <w:r w:rsidRPr="00D212EE">
        <w:rPr>
          <w:rFonts w:asciiTheme="majorBidi" w:hAnsiTheme="majorBidi" w:cstheme="majorBidi"/>
          <w:sz w:val="24"/>
          <w:szCs w:val="24"/>
        </w:rPr>
        <w:t xml:space="preserve"> iddiasından türetilen etik bir zorunluluktur.</w:t>
      </w:r>
    </w:p>
    <w:p w14:paraId="2D03561F" w14:textId="2CBB2829" w:rsidR="00891B12" w:rsidRPr="00D212EE" w:rsidRDefault="00891B12" w:rsidP="00FE6A96">
      <w:pPr>
        <w:pStyle w:val="Heading2"/>
        <w:spacing w:line="360" w:lineRule="auto"/>
        <w:jc w:val="both"/>
      </w:pPr>
      <w:bookmarkStart w:id="24" w:name="_Toc218886229"/>
      <w:bookmarkStart w:id="25" w:name="_Toc218901289"/>
      <w:bookmarkStart w:id="26" w:name="_Toc219409250"/>
      <w:r w:rsidRPr="00D212EE">
        <w:t xml:space="preserve">Sekülarizasyon, </w:t>
      </w:r>
      <w:proofErr w:type="spellStart"/>
      <w:r w:rsidRPr="00D212EE">
        <w:t>Desakralizasyon</w:t>
      </w:r>
      <w:proofErr w:type="spellEnd"/>
      <w:r w:rsidRPr="00D212EE">
        <w:t xml:space="preserve"> ve </w:t>
      </w:r>
      <w:proofErr w:type="spellStart"/>
      <w:r w:rsidR="00031206" w:rsidRPr="00D212EE">
        <w:t>Mâcid</w:t>
      </w:r>
      <w:r w:rsidRPr="00D212EE">
        <w:t>’in</w:t>
      </w:r>
      <w:proofErr w:type="spellEnd"/>
      <w:r w:rsidRPr="00D212EE">
        <w:t xml:space="preserve"> Entegrasyon Sistemi</w:t>
      </w:r>
      <w:bookmarkEnd w:id="24"/>
      <w:bookmarkEnd w:id="25"/>
      <w:bookmarkEnd w:id="26"/>
      <w:r w:rsidRPr="00D212EE">
        <w:t xml:space="preserve"> </w:t>
      </w:r>
    </w:p>
    <w:p w14:paraId="21CA4928" w14:textId="5BDED0E9"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Nurhâlis</w:t>
      </w:r>
      <w:proofErr w:type="spellEnd"/>
      <w:r w:rsidR="00891B12"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düşünce atlasında sekülarizasyon, </w:t>
      </w:r>
      <w:proofErr w:type="spellStart"/>
      <w:r w:rsidR="00891B12" w:rsidRPr="00D212EE">
        <w:rPr>
          <w:rFonts w:asciiTheme="majorBidi" w:hAnsiTheme="majorBidi" w:cstheme="majorBidi"/>
          <w:sz w:val="24"/>
          <w:szCs w:val="24"/>
        </w:rPr>
        <w:t>desakralizasyon</w:t>
      </w:r>
      <w:proofErr w:type="spellEnd"/>
      <w:r w:rsidR="00891B12" w:rsidRPr="00D212EE">
        <w:rPr>
          <w:rFonts w:asciiTheme="majorBidi" w:hAnsiTheme="majorBidi" w:cstheme="majorBidi"/>
          <w:sz w:val="24"/>
          <w:szCs w:val="24"/>
        </w:rPr>
        <w:t xml:space="preserve"> ve entegrasyon sistemi, birbirine eklemlenmiş bir </w:t>
      </w:r>
      <w:r w:rsidR="001B4935">
        <w:rPr>
          <w:rFonts w:asciiTheme="majorBidi" w:hAnsiTheme="majorBidi" w:cstheme="majorBidi"/>
          <w:sz w:val="24"/>
          <w:szCs w:val="24"/>
        </w:rPr>
        <w:t>‘</w:t>
      </w:r>
      <w:r w:rsidR="00891B12" w:rsidRPr="00D212EE">
        <w:rPr>
          <w:rFonts w:asciiTheme="majorBidi" w:hAnsiTheme="majorBidi" w:cstheme="majorBidi"/>
          <w:sz w:val="24"/>
          <w:szCs w:val="24"/>
        </w:rPr>
        <w:t>zihniyet inkılabı</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projesidir. </w:t>
      </w:r>
      <w:proofErr w:type="spellStart"/>
      <w:r w:rsidRPr="00D212EE">
        <w:rPr>
          <w:rFonts w:asciiTheme="majorBidi" w:hAnsiTheme="majorBidi" w:cstheme="majorBidi"/>
          <w:sz w:val="24"/>
          <w:szCs w:val="24"/>
        </w:rPr>
        <w:t>Mâcid</w:t>
      </w:r>
      <w:proofErr w:type="spellEnd"/>
      <w:r w:rsidR="00891B12" w:rsidRPr="00D212EE">
        <w:rPr>
          <w:rFonts w:asciiTheme="majorBidi" w:hAnsiTheme="majorBidi" w:cstheme="majorBidi"/>
          <w:sz w:val="24"/>
          <w:szCs w:val="24"/>
        </w:rPr>
        <w:t xml:space="preserve">, Endonezya'nın </w:t>
      </w:r>
      <w:r w:rsidR="00891B12" w:rsidRPr="00D212EE">
        <w:rPr>
          <w:rFonts w:asciiTheme="majorBidi" w:hAnsiTheme="majorBidi" w:cstheme="majorBidi"/>
          <w:sz w:val="24"/>
          <w:szCs w:val="24"/>
        </w:rPr>
        <w:lastRenderedPageBreak/>
        <w:t>modernleşme sancılarını dindirmek için İslam’ın asli mesajını, tarihsel süreçte oluşmuş ve kutsanmış tortulardan ayırmayı hedeflemiştir. Bu sistem, sadece sosyolojik bir değişim değil, aynı zamanda teolojik bir yeniden inşadır.</w:t>
      </w:r>
    </w:p>
    <w:p w14:paraId="68654757" w14:textId="2B29B82A" w:rsidR="00891B12" w:rsidRPr="00D212EE" w:rsidRDefault="00891B12" w:rsidP="00FE6A96">
      <w:pPr>
        <w:pStyle w:val="Heading3"/>
        <w:spacing w:line="360" w:lineRule="auto"/>
        <w:jc w:val="both"/>
      </w:pPr>
      <w:bookmarkStart w:id="27" w:name="_Toc218886230"/>
      <w:bookmarkStart w:id="28" w:name="_Toc218901290"/>
      <w:bookmarkStart w:id="29" w:name="_Toc219409251"/>
      <w:r w:rsidRPr="00D212EE">
        <w:t>Sekülarizasyon</w:t>
      </w:r>
      <w:bookmarkEnd w:id="27"/>
      <w:bookmarkEnd w:id="28"/>
      <w:bookmarkEnd w:id="29"/>
    </w:p>
    <w:p w14:paraId="106EBD35" w14:textId="5D92058D"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sekülarizasyon kavramsallaştırması, Batı’daki din karşıtı </w:t>
      </w:r>
      <w:r w:rsidR="001B4935">
        <w:rPr>
          <w:rFonts w:asciiTheme="majorBidi" w:hAnsiTheme="majorBidi" w:cstheme="majorBidi"/>
          <w:sz w:val="24"/>
          <w:szCs w:val="24"/>
        </w:rPr>
        <w:t>‘</w:t>
      </w:r>
      <w:r w:rsidR="00891B12" w:rsidRPr="00D212EE">
        <w:rPr>
          <w:rFonts w:asciiTheme="majorBidi" w:hAnsiTheme="majorBidi" w:cstheme="majorBidi"/>
          <w:sz w:val="24"/>
          <w:szCs w:val="24"/>
        </w:rPr>
        <w:t>sekülerizm</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ideolojisinden keskin bir şekilde ayrılır. </w:t>
      </w:r>
      <w:proofErr w:type="spellStart"/>
      <w:r w:rsidRPr="00D212EE">
        <w:rPr>
          <w:rFonts w:asciiTheme="majorBidi" w:hAnsiTheme="majorBidi" w:cstheme="majorBidi"/>
          <w:sz w:val="24"/>
          <w:szCs w:val="24"/>
        </w:rPr>
        <w:t>Mâcid</w:t>
      </w:r>
      <w:proofErr w:type="spellEnd"/>
      <w:r w:rsidR="00891B12" w:rsidRPr="00D212EE">
        <w:rPr>
          <w:rFonts w:asciiTheme="majorBidi" w:hAnsiTheme="majorBidi" w:cstheme="majorBidi"/>
          <w:sz w:val="24"/>
          <w:szCs w:val="24"/>
        </w:rPr>
        <w:t xml:space="preserve"> için sekülarizasyon, köklerini Harvey </w:t>
      </w:r>
      <w:proofErr w:type="spellStart"/>
      <w:r w:rsidR="00891B12" w:rsidRPr="00D212EE">
        <w:rPr>
          <w:rFonts w:asciiTheme="majorBidi" w:hAnsiTheme="majorBidi" w:cstheme="majorBidi"/>
          <w:sz w:val="24"/>
          <w:szCs w:val="24"/>
        </w:rPr>
        <w:t>Cox</w:t>
      </w:r>
      <w:proofErr w:type="spellEnd"/>
      <w:r w:rsidR="00891B12" w:rsidRPr="00D212EE">
        <w:rPr>
          <w:rFonts w:asciiTheme="majorBidi" w:hAnsiTheme="majorBidi" w:cstheme="majorBidi"/>
          <w:sz w:val="24"/>
          <w:szCs w:val="24"/>
        </w:rPr>
        <w:t xml:space="preserve"> ve Robert N. </w:t>
      </w:r>
      <w:proofErr w:type="spellStart"/>
      <w:r w:rsidR="00891B12" w:rsidRPr="00D212EE">
        <w:rPr>
          <w:rFonts w:asciiTheme="majorBidi" w:hAnsiTheme="majorBidi" w:cstheme="majorBidi"/>
          <w:sz w:val="24"/>
          <w:szCs w:val="24"/>
        </w:rPr>
        <w:t>Bellah’ın</w:t>
      </w:r>
      <w:proofErr w:type="spellEnd"/>
      <w:r w:rsidR="00891B12" w:rsidRPr="00D212EE">
        <w:rPr>
          <w:rFonts w:asciiTheme="majorBidi" w:hAnsiTheme="majorBidi" w:cstheme="majorBidi"/>
          <w:sz w:val="24"/>
          <w:szCs w:val="24"/>
        </w:rPr>
        <w:t xml:space="preserve"> sosyolojik analizlerinden alan, </w:t>
      </w:r>
      <w:proofErr w:type="spellStart"/>
      <w:r w:rsidR="00891B12" w:rsidRPr="00D212EE">
        <w:rPr>
          <w:rFonts w:asciiTheme="majorBidi" w:hAnsiTheme="majorBidi" w:cstheme="majorBidi"/>
          <w:sz w:val="24"/>
          <w:szCs w:val="24"/>
        </w:rPr>
        <w:t>müslüman</w:t>
      </w:r>
      <w:proofErr w:type="spellEnd"/>
      <w:r w:rsidR="00891B12" w:rsidRPr="00D212EE">
        <w:rPr>
          <w:rFonts w:asciiTheme="majorBidi" w:hAnsiTheme="majorBidi" w:cstheme="majorBidi"/>
          <w:sz w:val="24"/>
          <w:szCs w:val="24"/>
        </w:rPr>
        <w:t xml:space="preserve"> zihnini </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dünyevi olanı </w:t>
      </w:r>
      <w:proofErr w:type="spellStart"/>
      <w:r w:rsidR="00891B12" w:rsidRPr="00D212EE">
        <w:rPr>
          <w:rFonts w:asciiTheme="majorBidi" w:hAnsiTheme="majorBidi" w:cstheme="majorBidi"/>
          <w:sz w:val="24"/>
          <w:szCs w:val="24"/>
        </w:rPr>
        <w:t>ilahileştirme</w:t>
      </w:r>
      <w:proofErr w:type="spellEnd"/>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hatasından kurtarma eylemidir</w:t>
      </w:r>
      <w:r w:rsidR="008C6A07" w:rsidRPr="00D212EE">
        <w:rPr>
          <w:rStyle w:val="FootnoteReference"/>
          <w:rFonts w:asciiTheme="majorBidi" w:hAnsiTheme="majorBidi" w:cstheme="majorBidi"/>
          <w:sz w:val="24"/>
          <w:szCs w:val="24"/>
        </w:rPr>
        <w:footnoteReference w:id="38"/>
      </w:r>
      <w:r w:rsidR="00891B12" w:rsidRPr="00D212EE">
        <w:rPr>
          <w:rFonts w:asciiTheme="majorBidi" w:hAnsiTheme="majorBidi" w:cstheme="majorBidi"/>
          <w:sz w:val="24"/>
          <w:szCs w:val="24"/>
        </w:rPr>
        <w:t>.</w:t>
      </w:r>
    </w:p>
    <w:p w14:paraId="035D639D" w14:textId="0732B8A9" w:rsidR="00891B12" w:rsidRPr="00D212EE" w:rsidRDefault="00891B12"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Bu süreç, değerlerin hiyerarşisini düzeltmeyi amaçlar.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Müslümanların aşkın olanla zamansal olanı birbirine karıştırdığını savunur. Sekülarizasyon bu bağlamda bir </w:t>
      </w:r>
      <w:r w:rsidR="001B4935">
        <w:rPr>
          <w:rFonts w:asciiTheme="majorBidi" w:hAnsiTheme="majorBidi" w:cstheme="majorBidi"/>
          <w:sz w:val="24"/>
          <w:szCs w:val="24"/>
        </w:rPr>
        <w:t>‘</w:t>
      </w:r>
      <w:r w:rsidRPr="00D212EE">
        <w:rPr>
          <w:rFonts w:asciiTheme="majorBidi" w:hAnsiTheme="majorBidi" w:cstheme="majorBidi"/>
          <w:sz w:val="24"/>
          <w:szCs w:val="24"/>
        </w:rPr>
        <w:t>dünyevileştirme</w:t>
      </w:r>
      <w:r w:rsidR="001B4935">
        <w:rPr>
          <w:rFonts w:asciiTheme="majorBidi" w:hAnsiTheme="majorBidi" w:cstheme="majorBidi"/>
          <w:sz w:val="24"/>
          <w:szCs w:val="24"/>
        </w:rPr>
        <w:t>’</w:t>
      </w:r>
      <w:r w:rsidRPr="00D212EE">
        <w:rPr>
          <w:rFonts w:asciiTheme="majorBidi" w:hAnsiTheme="majorBidi" w:cstheme="majorBidi"/>
          <w:sz w:val="24"/>
          <w:szCs w:val="24"/>
        </w:rPr>
        <w:t xml:space="preserve"> değil, dünyevi olanın </w:t>
      </w:r>
      <w:r w:rsidR="007D1B9E" w:rsidRPr="00D212EE">
        <w:rPr>
          <w:rFonts w:asciiTheme="majorBidi" w:hAnsiTheme="majorBidi" w:cstheme="majorBidi"/>
          <w:sz w:val="24"/>
          <w:szCs w:val="24"/>
        </w:rPr>
        <w:t xml:space="preserve">mesela </w:t>
      </w:r>
      <w:r w:rsidRPr="00D212EE">
        <w:rPr>
          <w:rFonts w:asciiTheme="majorBidi" w:hAnsiTheme="majorBidi" w:cstheme="majorBidi"/>
          <w:sz w:val="24"/>
          <w:szCs w:val="24"/>
        </w:rPr>
        <w:t>siyaset, ekonomi, sosyal yapılar</w:t>
      </w:r>
      <w:r w:rsidR="007D1B9E" w:rsidRPr="00D212EE">
        <w:rPr>
          <w:rFonts w:asciiTheme="majorBidi" w:hAnsiTheme="majorBidi" w:cstheme="majorBidi"/>
          <w:sz w:val="24"/>
          <w:szCs w:val="24"/>
        </w:rPr>
        <w:t xml:space="preserve"> vs.</w:t>
      </w:r>
      <w:r w:rsidRPr="00D212EE">
        <w:rPr>
          <w:rFonts w:asciiTheme="majorBidi" w:hAnsiTheme="majorBidi" w:cstheme="majorBidi"/>
          <w:sz w:val="24"/>
          <w:szCs w:val="24"/>
        </w:rPr>
        <w:t xml:space="preserve"> rasyonel ve nesnel bir şekilde ele alınmasını sağlayan bir özgürleşme sürecidir.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’e</w:t>
      </w:r>
      <w:proofErr w:type="spellEnd"/>
      <w:r w:rsidRPr="00D212EE">
        <w:rPr>
          <w:rFonts w:asciiTheme="majorBidi" w:hAnsiTheme="majorBidi" w:cstheme="majorBidi"/>
          <w:sz w:val="24"/>
          <w:szCs w:val="24"/>
        </w:rPr>
        <w:t xml:space="preserve"> göre, eğer her şey kutsal kabul edilirse, akıl o alana dokunamaz ve dolayısıyla ilerleme durur. Akıl ve bilim, ancak </w:t>
      </w:r>
      <w:r w:rsidR="001B4935">
        <w:rPr>
          <w:rFonts w:asciiTheme="majorBidi" w:hAnsiTheme="majorBidi" w:cstheme="majorBidi"/>
          <w:sz w:val="24"/>
          <w:szCs w:val="24"/>
        </w:rPr>
        <w:t>‘</w:t>
      </w:r>
      <w:r w:rsidRPr="00D212EE">
        <w:rPr>
          <w:rFonts w:asciiTheme="majorBidi" w:hAnsiTheme="majorBidi" w:cstheme="majorBidi"/>
          <w:sz w:val="24"/>
          <w:szCs w:val="24"/>
        </w:rPr>
        <w:t>dünya</w:t>
      </w:r>
      <w:r w:rsidR="001B4935">
        <w:rPr>
          <w:rFonts w:asciiTheme="majorBidi" w:hAnsiTheme="majorBidi" w:cstheme="majorBidi"/>
          <w:sz w:val="24"/>
          <w:szCs w:val="24"/>
        </w:rPr>
        <w:t>’</w:t>
      </w:r>
      <w:r w:rsidRPr="00D212EE">
        <w:rPr>
          <w:rFonts w:asciiTheme="majorBidi" w:hAnsiTheme="majorBidi" w:cstheme="majorBidi"/>
          <w:sz w:val="24"/>
          <w:szCs w:val="24"/>
        </w:rPr>
        <w:t xml:space="preserve"> bir nesne olarak mitlerden arındırıldığında işlev görebilir</w:t>
      </w:r>
      <w:r w:rsidR="007D1B9E" w:rsidRPr="00D212EE">
        <w:rPr>
          <w:rStyle w:val="FootnoteReference"/>
          <w:rFonts w:asciiTheme="majorBidi" w:hAnsiTheme="majorBidi" w:cstheme="majorBidi"/>
          <w:sz w:val="24"/>
          <w:szCs w:val="24"/>
        </w:rPr>
        <w:footnoteReference w:id="39"/>
      </w:r>
      <w:r w:rsidRPr="00D212EE">
        <w:rPr>
          <w:rFonts w:asciiTheme="majorBidi" w:hAnsiTheme="majorBidi" w:cstheme="majorBidi"/>
          <w:sz w:val="24"/>
          <w:szCs w:val="24"/>
        </w:rPr>
        <w:t>.</w:t>
      </w:r>
    </w:p>
    <w:p w14:paraId="30C32AD8" w14:textId="587E69F4" w:rsidR="00891B12" w:rsidRPr="00D212EE" w:rsidRDefault="00891B12" w:rsidP="00FE6A96">
      <w:pPr>
        <w:pStyle w:val="Heading3"/>
        <w:spacing w:line="360" w:lineRule="auto"/>
        <w:jc w:val="both"/>
      </w:pPr>
      <w:bookmarkStart w:id="30" w:name="_Toc218886231"/>
      <w:bookmarkStart w:id="31" w:name="_Toc218901291"/>
      <w:bookmarkStart w:id="32" w:name="_Toc219409252"/>
      <w:proofErr w:type="spellStart"/>
      <w:r w:rsidRPr="00D212EE">
        <w:t>Desakralizasyon</w:t>
      </w:r>
      <w:bookmarkEnd w:id="30"/>
      <w:bookmarkEnd w:id="31"/>
      <w:bookmarkEnd w:id="32"/>
      <w:proofErr w:type="spellEnd"/>
      <w:r w:rsidRPr="00D212EE">
        <w:t xml:space="preserve"> </w:t>
      </w:r>
    </w:p>
    <w:p w14:paraId="4A4F6BC5" w14:textId="64E62919"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sisteminde </w:t>
      </w:r>
      <w:proofErr w:type="spellStart"/>
      <w:r w:rsidR="00891B12" w:rsidRPr="00D212EE">
        <w:rPr>
          <w:rFonts w:asciiTheme="majorBidi" w:hAnsiTheme="majorBidi" w:cstheme="majorBidi"/>
          <w:sz w:val="24"/>
          <w:szCs w:val="24"/>
        </w:rPr>
        <w:t>desakralizasyon</w:t>
      </w:r>
      <w:proofErr w:type="spellEnd"/>
      <w:r w:rsidR="002B2B29" w:rsidRPr="00D212EE">
        <w:rPr>
          <w:rFonts w:asciiTheme="majorBidi" w:hAnsiTheme="majorBidi" w:cstheme="majorBidi"/>
          <w:sz w:val="24"/>
          <w:szCs w:val="24"/>
        </w:rPr>
        <w:t xml:space="preserve">, </w:t>
      </w:r>
      <w:r w:rsidR="00891B12" w:rsidRPr="00D212EE">
        <w:rPr>
          <w:rFonts w:asciiTheme="majorBidi" w:hAnsiTheme="majorBidi" w:cstheme="majorBidi"/>
          <w:sz w:val="24"/>
          <w:szCs w:val="24"/>
        </w:rPr>
        <w:t>doğrudan Tevhid inancının bir sonucudur. Tevhid, sadece Allah’ın mutlak olduğunu vazederken, geri kalan her şeyin göreceli ve zamansal olduğunu ilan eder. Dolayısıyla, İslam adına kurulan siyasi partiler, devlet biçimleri</w:t>
      </w:r>
      <w:r w:rsidR="007D1B9E" w:rsidRPr="00D212EE">
        <w:rPr>
          <w:rFonts w:asciiTheme="majorBidi" w:hAnsiTheme="majorBidi" w:cstheme="majorBidi"/>
          <w:sz w:val="24"/>
          <w:szCs w:val="24"/>
        </w:rPr>
        <w:t xml:space="preserve"> </w:t>
      </w:r>
      <w:r w:rsidR="00891B12" w:rsidRPr="00D212EE">
        <w:rPr>
          <w:rFonts w:asciiTheme="majorBidi" w:hAnsiTheme="majorBidi" w:cstheme="majorBidi"/>
          <w:sz w:val="24"/>
          <w:szCs w:val="24"/>
        </w:rPr>
        <w:t xml:space="preserve">veya insan yapısı fıkhi yorumlar </w:t>
      </w:r>
      <w:r w:rsidR="001B4935">
        <w:rPr>
          <w:rFonts w:asciiTheme="majorBidi" w:hAnsiTheme="majorBidi" w:cstheme="majorBidi"/>
          <w:sz w:val="24"/>
          <w:szCs w:val="24"/>
        </w:rPr>
        <w:t>“</w:t>
      </w:r>
      <w:r w:rsidR="00891B12" w:rsidRPr="00D212EE">
        <w:rPr>
          <w:rFonts w:asciiTheme="majorBidi" w:hAnsiTheme="majorBidi" w:cstheme="majorBidi"/>
          <w:sz w:val="24"/>
          <w:szCs w:val="24"/>
        </w:rPr>
        <w:t>kutsal</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değildir; bunlar tarihsel şartların ürünüdür</w:t>
      </w:r>
      <w:r w:rsidR="002B2B29" w:rsidRPr="00D212EE">
        <w:rPr>
          <w:rStyle w:val="FootnoteReference"/>
          <w:rFonts w:asciiTheme="majorBidi" w:hAnsiTheme="majorBidi" w:cstheme="majorBidi"/>
          <w:sz w:val="24"/>
          <w:szCs w:val="24"/>
        </w:rPr>
        <w:footnoteReference w:id="40"/>
      </w:r>
      <w:r w:rsidR="00891B12" w:rsidRPr="00D212EE">
        <w:rPr>
          <w:rFonts w:asciiTheme="majorBidi" w:hAnsiTheme="majorBidi" w:cstheme="majorBidi"/>
          <w:sz w:val="24"/>
          <w:szCs w:val="24"/>
        </w:rPr>
        <w:t>.</w:t>
      </w:r>
    </w:p>
    <w:p w14:paraId="63E65375" w14:textId="0B60E460"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proofErr w:type="spellEnd"/>
      <w:r w:rsidR="00891B12" w:rsidRPr="00D212EE">
        <w:rPr>
          <w:rFonts w:asciiTheme="majorBidi" w:hAnsiTheme="majorBidi" w:cstheme="majorBidi"/>
          <w:sz w:val="24"/>
          <w:szCs w:val="24"/>
        </w:rPr>
        <w:t xml:space="preserve"> bu noktada </w:t>
      </w:r>
      <w:r w:rsidR="001B4935">
        <w:rPr>
          <w:rFonts w:asciiTheme="majorBidi" w:hAnsiTheme="majorBidi" w:cstheme="majorBidi"/>
          <w:sz w:val="24"/>
          <w:szCs w:val="24"/>
        </w:rPr>
        <w:t>‘</w:t>
      </w:r>
      <w:r w:rsidR="00891B12" w:rsidRPr="00D212EE">
        <w:rPr>
          <w:rFonts w:asciiTheme="majorBidi" w:hAnsiTheme="majorBidi" w:cstheme="majorBidi"/>
          <w:sz w:val="24"/>
          <w:szCs w:val="24"/>
        </w:rPr>
        <w:t>radikal bir değer kaybı</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önerir: Kutsal olmayan nesnelerin üzerinden kutsallık örtüsü kaldırılmalı, böylece bu nesneler pratik günlük kullanıma uygun hale getirilmelidir. Bu yaklaşım, Müslümanların </w:t>
      </w:r>
      <w:r w:rsidR="001B4935">
        <w:rPr>
          <w:rFonts w:asciiTheme="majorBidi" w:hAnsiTheme="majorBidi" w:cstheme="majorBidi"/>
          <w:sz w:val="24"/>
          <w:szCs w:val="24"/>
        </w:rPr>
        <w:t>‘</w:t>
      </w:r>
      <w:r w:rsidR="00891B12" w:rsidRPr="00D212EE">
        <w:rPr>
          <w:rFonts w:asciiTheme="majorBidi" w:hAnsiTheme="majorBidi" w:cstheme="majorBidi"/>
          <w:sz w:val="24"/>
          <w:szCs w:val="24"/>
        </w:rPr>
        <w:t>yeni putlar</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yaratmasını engeller. </w:t>
      </w: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’e</w:t>
      </w:r>
      <w:proofErr w:type="spellEnd"/>
      <w:r w:rsidR="00891B12" w:rsidRPr="00D212EE">
        <w:rPr>
          <w:rFonts w:asciiTheme="majorBidi" w:hAnsiTheme="majorBidi" w:cstheme="majorBidi"/>
          <w:sz w:val="24"/>
          <w:szCs w:val="24"/>
        </w:rPr>
        <w:t xml:space="preserve"> göre, beşeri yorumların kutsallaştırılması, bir tür </w:t>
      </w:r>
      <w:r w:rsidR="001B4935">
        <w:rPr>
          <w:rFonts w:asciiTheme="majorBidi" w:hAnsiTheme="majorBidi" w:cstheme="majorBidi"/>
          <w:sz w:val="24"/>
          <w:szCs w:val="24"/>
        </w:rPr>
        <w:t>‘</w:t>
      </w:r>
      <w:r w:rsidR="00891B12" w:rsidRPr="00D212EE">
        <w:rPr>
          <w:rFonts w:asciiTheme="majorBidi" w:hAnsiTheme="majorBidi" w:cstheme="majorBidi"/>
          <w:sz w:val="24"/>
          <w:szCs w:val="24"/>
        </w:rPr>
        <w:t>şirk</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riskini taşır; zira bu durum, insan aklının ürünlerini </w:t>
      </w:r>
      <w:r w:rsidR="00891B12" w:rsidRPr="00D212EE">
        <w:rPr>
          <w:rFonts w:asciiTheme="majorBidi" w:hAnsiTheme="majorBidi" w:cstheme="majorBidi"/>
          <w:sz w:val="24"/>
          <w:szCs w:val="24"/>
        </w:rPr>
        <w:lastRenderedPageBreak/>
        <w:t xml:space="preserve">Tanrı’nın kelamıyla eşdeğer tutmak anlamına gelir. </w:t>
      </w:r>
      <w:proofErr w:type="spellStart"/>
      <w:r w:rsidR="00891B12" w:rsidRPr="00D212EE">
        <w:rPr>
          <w:rFonts w:asciiTheme="majorBidi" w:hAnsiTheme="majorBidi" w:cstheme="majorBidi"/>
          <w:sz w:val="24"/>
          <w:szCs w:val="24"/>
        </w:rPr>
        <w:t>Desakralizasyon</w:t>
      </w:r>
      <w:proofErr w:type="spellEnd"/>
      <w:r w:rsidR="00891B12" w:rsidRPr="00D212EE">
        <w:rPr>
          <w:rFonts w:asciiTheme="majorBidi" w:hAnsiTheme="majorBidi" w:cstheme="majorBidi"/>
          <w:sz w:val="24"/>
          <w:szCs w:val="24"/>
        </w:rPr>
        <w:t xml:space="preserve">, </w:t>
      </w:r>
      <w:proofErr w:type="spellStart"/>
      <w:r w:rsidR="00891B12" w:rsidRPr="00D212EE">
        <w:rPr>
          <w:rFonts w:asciiTheme="majorBidi" w:hAnsiTheme="majorBidi" w:cstheme="majorBidi"/>
          <w:sz w:val="24"/>
          <w:szCs w:val="24"/>
        </w:rPr>
        <w:t>müslüman</w:t>
      </w:r>
      <w:proofErr w:type="spellEnd"/>
      <w:r w:rsidR="00891B12" w:rsidRPr="00D212EE">
        <w:rPr>
          <w:rFonts w:asciiTheme="majorBidi" w:hAnsiTheme="majorBidi" w:cstheme="majorBidi"/>
          <w:sz w:val="24"/>
          <w:szCs w:val="24"/>
        </w:rPr>
        <w:t xml:space="preserve"> bireyi bu zihinsel prangalardan kurtararak, dünyayı yönetme sorumluluğunu rasyonel bir düzleme taşır</w:t>
      </w:r>
      <w:r w:rsidR="007D1B9E" w:rsidRPr="00D212EE">
        <w:rPr>
          <w:rStyle w:val="FootnoteReference"/>
          <w:rFonts w:asciiTheme="majorBidi" w:hAnsiTheme="majorBidi" w:cstheme="majorBidi"/>
          <w:sz w:val="24"/>
          <w:szCs w:val="24"/>
        </w:rPr>
        <w:footnoteReference w:id="41"/>
      </w:r>
      <w:r w:rsidR="00891B12" w:rsidRPr="00D212EE">
        <w:rPr>
          <w:rFonts w:asciiTheme="majorBidi" w:hAnsiTheme="majorBidi" w:cstheme="majorBidi"/>
          <w:sz w:val="24"/>
          <w:szCs w:val="24"/>
        </w:rPr>
        <w:t>.</w:t>
      </w:r>
    </w:p>
    <w:p w14:paraId="161CA91E" w14:textId="78F2E393" w:rsidR="00891B12" w:rsidRPr="00D212EE" w:rsidRDefault="00891B12" w:rsidP="00FE6A96">
      <w:pPr>
        <w:pStyle w:val="Heading3"/>
        <w:spacing w:line="360" w:lineRule="auto"/>
        <w:jc w:val="both"/>
      </w:pPr>
      <w:bookmarkStart w:id="33" w:name="_Toc218886232"/>
      <w:bookmarkStart w:id="34" w:name="_Toc218901292"/>
      <w:bookmarkStart w:id="35" w:name="_Toc219409253"/>
      <w:r w:rsidRPr="00D212EE">
        <w:t>Entegrasyon Sistemi</w:t>
      </w:r>
      <w:bookmarkEnd w:id="33"/>
      <w:bookmarkEnd w:id="34"/>
      <w:bookmarkEnd w:id="35"/>
    </w:p>
    <w:p w14:paraId="18E9BC9D" w14:textId="26825F9E"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asıl dehası, sekülarizasyon ve </w:t>
      </w:r>
      <w:proofErr w:type="spellStart"/>
      <w:r w:rsidR="00891B12" w:rsidRPr="00D212EE">
        <w:rPr>
          <w:rFonts w:asciiTheme="majorBidi" w:hAnsiTheme="majorBidi" w:cstheme="majorBidi"/>
          <w:sz w:val="24"/>
          <w:szCs w:val="24"/>
        </w:rPr>
        <w:t>desakralizasyon</w:t>
      </w:r>
      <w:proofErr w:type="spellEnd"/>
      <w:r w:rsidR="00891B12" w:rsidRPr="00D212EE">
        <w:rPr>
          <w:rFonts w:asciiTheme="majorBidi" w:hAnsiTheme="majorBidi" w:cstheme="majorBidi"/>
          <w:sz w:val="24"/>
          <w:szCs w:val="24"/>
        </w:rPr>
        <w:t xml:space="preserve"> ile açtığı bu alanı, İslam’ın evrensel ahlakıyla Endonezya’nın yerel gerçeklikleri arasında kurduğu entegrasyonla doldurmasıdır</w:t>
      </w:r>
      <w:r w:rsidR="007D1B9E" w:rsidRPr="00D212EE">
        <w:rPr>
          <w:rStyle w:val="FootnoteReference"/>
          <w:rFonts w:asciiTheme="majorBidi" w:hAnsiTheme="majorBidi" w:cstheme="majorBidi"/>
          <w:sz w:val="24"/>
          <w:szCs w:val="24"/>
        </w:rPr>
        <w:footnoteReference w:id="42"/>
      </w:r>
      <w:r w:rsidR="00891B12" w:rsidRPr="00D212EE">
        <w:rPr>
          <w:rFonts w:asciiTheme="majorBidi" w:hAnsiTheme="majorBidi" w:cstheme="majorBidi"/>
          <w:sz w:val="24"/>
          <w:szCs w:val="24"/>
        </w:rPr>
        <w:t>.</w:t>
      </w:r>
      <w:r w:rsidR="007D1B9E" w:rsidRPr="00D212EE">
        <w:rPr>
          <w:rFonts w:asciiTheme="majorBidi" w:hAnsiTheme="majorBidi" w:cstheme="majorBidi"/>
          <w:sz w:val="24"/>
          <w:szCs w:val="24"/>
        </w:rPr>
        <w:t xml:space="preserve"> </w:t>
      </w:r>
      <w:r w:rsidR="00891B12" w:rsidRPr="00D212EE">
        <w:rPr>
          <w:rFonts w:asciiTheme="majorBidi" w:hAnsiTheme="majorBidi" w:cstheme="majorBidi"/>
          <w:sz w:val="24"/>
          <w:szCs w:val="24"/>
        </w:rPr>
        <w:t xml:space="preserve">İslam’ın </w:t>
      </w:r>
      <w:r w:rsidR="001B4935">
        <w:rPr>
          <w:rFonts w:asciiTheme="majorBidi" w:hAnsiTheme="majorBidi" w:cstheme="majorBidi"/>
          <w:sz w:val="24"/>
          <w:szCs w:val="24"/>
        </w:rPr>
        <w:t>“</w:t>
      </w:r>
      <w:r w:rsidR="00891B12" w:rsidRPr="00D212EE">
        <w:rPr>
          <w:rFonts w:asciiTheme="majorBidi" w:hAnsiTheme="majorBidi" w:cstheme="majorBidi"/>
          <w:sz w:val="24"/>
          <w:szCs w:val="24"/>
        </w:rPr>
        <w:t>insanlık dini</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olduğunu vurgular. Tanrı’nın rızası, ancak insanın yeryüzündeki refahı, adaleti ve özgürlüğüyle kazanılabilir. Bu </w:t>
      </w:r>
      <w:r w:rsidR="001B4935">
        <w:rPr>
          <w:rFonts w:asciiTheme="majorBidi" w:hAnsiTheme="majorBidi" w:cstheme="majorBidi"/>
          <w:sz w:val="24"/>
          <w:szCs w:val="24"/>
        </w:rPr>
        <w:t>“</w:t>
      </w:r>
      <w:r w:rsidR="00891B12" w:rsidRPr="00D212EE">
        <w:rPr>
          <w:rFonts w:asciiTheme="majorBidi" w:hAnsiTheme="majorBidi" w:cstheme="majorBidi"/>
          <w:sz w:val="24"/>
          <w:szCs w:val="24"/>
        </w:rPr>
        <w:t>derinlik ilahiyatı</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w:t>
      </w:r>
      <w:proofErr w:type="spellStart"/>
      <w:r w:rsidR="00891B12" w:rsidRPr="00D212EE">
        <w:rPr>
          <w:rFonts w:asciiTheme="majorBidi" w:hAnsiTheme="majorBidi" w:cstheme="majorBidi"/>
          <w:sz w:val="24"/>
          <w:szCs w:val="24"/>
        </w:rPr>
        <w:t>depth</w:t>
      </w:r>
      <w:proofErr w:type="spellEnd"/>
      <w:r w:rsidR="00891B12" w:rsidRPr="00D212EE">
        <w:rPr>
          <w:rFonts w:asciiTheme="majorBidi" w:hAnsiTheme="majorBidi" w:cstheme="majorBidi"/>
          <w:sz w:val="24"/>
          <w:szCs w:val="24"/>
        </w:rPr>
        <w:t xml:space="preserve"> </w:t>
      </w:r>
      <w:proofErr w:type="spellStart"/>
      <w:r w:rsidR="00891B12" w:rsidRPr="00D212EE">
        <w:rPr>
          <w:rFonts w:asciiTheme="majorBidi" w:hAnsiTheme="majorBidi" w:cstheme="majorBidi"/>
          <w:sz w:val="24"/>
          <w:szCs w:val="24"/>
        </w:rPr>
        <w:t>theology</w:t>
      </w:r>
      <w:proofErr w:type="spellEnd"/>
      <w:r w:rsidR="00891B12" w:rsidRPr="00D212EE">
        <w:rPr>
          <w:rFonts w:asciiTheme="majorBidi" w:hAnsiTheme="majorBidi" w:cstheme="majorBidi"/>
          <w:sz w:val="24"/>
          <w:szCs w:val="24"/>
        </w:rPr>
        <w:t>), dinin ritüellerinden ziyade etik özüne odaklanır.</w:t>
      </w:r>
      <w:r w:rsidR="00543A62"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543A62" w:rsidRPr="00D212EE">
        <w:rPr>
          <w:rFonts w:asciiTheme="majorBidi" w:hAnsiTheme="majorBidi" w:cstheme="majorBidi"/>
          <w:sz w:val="24"/>
          <w:szCs w:val="24"/>
        </w:rPr>
        <w:t>'in</w:t>
      </w:r>
      <w:proofErr w:type="spellEnd"/>
      <w:r w:rsidR="00543A62" w:rsidRPr="00D212EE">
        <w:rPr>
          <w:rFonts w:asciiTheme="majorBidi" w:hAnsiTheme="majorBidi" w:cstheme="majorBidi"/>
          <w:sz w:val="24"/>
          <w:szCs w:val="24"/>
        </w:rPr>
        <w:t xml:space="preserve"> </w:t>
      </w:r>
      <w:proofErr w:type="spellStart"/>
      <w:r w:rsidR="00543A62" w:rsidRPr="00D212EE">
        <w:rPr>
          <w:rFonts w:asciiTheme="majorBidi" w:hAnsiTheme="majorBidi" w:cstheme="majorBidi"/>
          <w:sz w:val="24"/>
          <w:szCs w:val="24"/>
        </w:rPr>
        <w:t>teosantrizmden</w:t>
      </w:r>
      <w:proofErr w:type="spellEnd"/>
      <w:r w:rsidR="00543A62" w:rsidRPr="00D212EE">
        <w:rPr>
          <w:rFonts w:asciiTheme="majorBidi" w:hAnsiTheme="majorBidi" w:cstheme="majorBidi"/>
          <w:sz w:val="24"/>
          <w:szCs w:val="24"/>
        </w:rPr>
        <w:t xml:space="preserve"> antroposantrizme geçişi, ilahi niyetin insan refahının başarılmasından ayrılamaz olduğunu doğrulayan sağlam bir etik ve teolojik talep olarak işlev görür</w:t>
      </w:r>
      <w:r w:rsidR="00543A62" w:rsidRPr="00D212EE">
        <w:rPr>
          <w:rStyle w:val="FootnoteReference"/>
          <w:rFonts w:asciiTheme="majorBidi" w:hAnsiTheme="majorBidi" w:cstheme="majorBidi"/>
          <w:sz w:val="24"/>
          <w:szCs w:val="24"/>
        </w:rPr>
        <w:footnoteReference w:id="43"/>
      </w:r>
      <w:r w:rsidR="00543A62" w:rsidRPr="00D212EE">
        <w:rPr>
          <w:rFonts w:asciiTheme="majorBidi" w:hAnsiTheme="majorBidi" w:cstheme="majorBidi"/>
          <w:sz w:val="24"/>
          <w:szCs w:val="24"/>
        </w:rPr>
        <w:t>.</w:t>
      </w:r>
    </w:p>
    <w:p w14:paraId="59F5804A" w14:textId="08C5EECC" w:rsidR="00891B12" w:rsidRPr="00D212EE" w:rsidRDefault="001B4935" w:rsidP="00FE6A9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w:t>
      </w:r>
      <w:r w:rsidR="00891B12" w:rsidRPr="00D212EE">
        <w:rPr>
          <w:rFonts w:asciiTheme="majorBidi" w:hAnsiTheme="majorBidi" w:cstheme="majorBidi"/>
          <w:sz w:val="24"/>
          <w:szCs w:val="24"/>
        </w:rPr>
        <w:t xml:space="preserve">İslam </w:t>
      </w:r>
      <w:proofErr w:type="spellStart"/>
      <w:r w:rsidR="00891B12" w:rsidRPr="00D212EE">
        <w:rPr>
          <w:rFonts w:asciiTheme="majorBidi" w:hAnsiTheme="majorBidi" w:cstheme="majorBidi"/>
          <w:sz w:val="24"/>
          <w:szCs w:val="24"/>
        </w:rPr>
        <w:t>Yes</w:t>
      </w:r>
      <w:proofErr w:type="spellEnd"/>
      <w:r w:rsidR="00891B12" w:rsidRPr="00D212EE">
        <w:rPr>
          <w:rFonts w:asciiTheme="majorBidi" w:hAnsiTheme="majorBidi" w:cstheme="majorBidi"/>
          <w:sz w:val="24"/>
          <w:szCs w:val="24"/>
        </w:rPr>
        <w:t xml:space="preserve">, </w:t>
      </w:r>
      <w:proofErr w:type="spellStart"/>
      <w:r w:rsidR="00891B12" w:rsidRPr="00D212EE">
        <w:rPr>
          <w:rFonts w:asciiTheme="majorBidi" w:hAnsiTheme="majorBidi" w:cstheme="majorBidi"/>
          <w:sz w:val="24"/>
          <w:szCs w:val="24"/>
        </w:rPr>
        <w:t>Partai</w:t>
      </w:r>
      <w:proofErr w:type="spellEnd"/>
      <w:r w:rsidR="00891B12" w:rsidRPr="00D212EE">
        <w:rPr>
          <w:rFonts w:asciiTheme="majorBidi" w:hAnsiTheme="majorBidi" w:cstheme="majorBidi"/>
          <w:sz w:val="24"/>
          <w:szCs w:val="24"/>
        </w:rPr>
        <w:t xml:space="preserve"> </w:t>
      </w:r>
      <w:proofErr w:type="spellStart"/>
      <w:r w:rsidR="00891B12" w:rsidRPr="00D212EE">
        <w:rPr>
          <w:rFonts w:asciiTheme="majorBidi" w:hAnsiTheme="majorBidi" w:cstheme="majorBidi"/>
          <w:sz w:val="24"/>
          <w:szCs w:val="24"/>
        </w:rPr>
        <w:t>Islam</w:t>
      </w:r>
      <w:proofErr w:type="spellEnd"/>
      <w:r w:rsidR="00891B12" w:rsidRPr="00D212EE">
        <w:rPr>
          <w:rFonts w:asciiTheme="majorBidi" w:hAnsiTheme="majorBidi" w:cstheme="majorBidi"/>
          <w:sz w:val="24"/>
          <w:szCs w:val="24"/>
        </w:rPr>
        <w:t xml:space="preserve"> No</w:t>
      </w:r>
      <w:r>
        <w:rPr>
          <w:rFonts w:asciiTheme="majorBidi" w:hAnsiTheme="majorBidi" w:cstheme="majorBidi"/>
          <w:sz w:val="24"/>
          <w:szCs w:val="24"/>
        </w:rPr>
        <w:t>”</w:t>
      </w:r>
      <w:r w:rsidR="00891B12" w:rsidRPr="00D212EE">
        <w:rPr>
          <w:rFonts w:asciiTheme="majorBidi" w:hAnsiTheme="majorBidi" w:cstheme="majorBidi"/>
          <w:sz w:val="24"/>
          <w:szCs w:val="24"/>
        </w:rPr>
        <w:t xml:space="preserve"> sloganıyla, İslam’ın sembolik ve formalist bir kalıba dökülmesine karşı çıkmıştır. Ona göre önemli olan devletin isminin </w:t>
      </w:r>
      <w:r>
        <w:rPr>
          <w:rFonts w:asciiTheme="majorBidi" w:hAnsiTheme="majorBidi" w:cstheme="majorBidi"/>
          <w:sz w:val="24"/>
          <w:szCs w:val="24"/>
        </w:rPr>
        <w:t>“</w:t>
      </w:r>
      <w:r w:rsidR="00891B12" w:rsidRPr="00D212EE">
        <w:rPr>
          <w:rFonts w:asciiTheme="majorBidi" w:hAnsiTheme="majorBidi" w:cstheme="majorBidi"/>
          <w:sz w:val="24"/>
          <w:szCs w:val="24"/>
        </w:rPr>
        <w:t>İslam</w:t>
      </w:r>
      <w:r>
        <w:rPr>
          <w:rFonts w:asciiTheme="majorBidi" w:hAnsiTheme="majorBidi" w:cstheme="majorBidi"/>
          <w:sz w:val="24"/>
          <w:szCs w:val="24"/>
        </w:rPr>
        <w:t>”</w:t>
      </w:r>
      <w:r w:rsidR="00891B12" w:rsidRPr="00D212EE">
        <w:rPr>
          <w:rFonts w:asciiTheme="majorBidi" w:hAnsiTheme="majorBidi" w:cstheme="majorBidi"/>
          <w:sz w:val="24"/>
          <w:szCs w:val="24"/>
        </w:rPr>
        <w:t xml:space="preserve"> olması değil, o devletin adalet, eşitlik ve istişare gibi İslami değerleri ne kadar hayata geçirdiğidir. Bu, sembolizmden </w:t>
      </w:r>
      <w:proofErr w:type="spellStart"/>
      <w:r w:rsidR="00891B12" w:rsidRPr="00D212EE">
        <w:rPr>
          <w:rFonts w:asciiTheme="majorBidi" w:hAnsiTheme="majorBidi" w:cstheme="majorBidi"/>
          <w:sz w:val="24"/>
          <w:szCs w:val="24"/>
        </w:rPr>
        <w:t>substantivizme</w:t>
      </w:r>
      <w:proofErr w:type="spellEnd"/>
      <w:r w:rsidR="00891B12" w:rsidRPr="00D212EE">
        <w:rPr>
          <w:rFonts w:asciiTheme="majorBidi" w:hAnsiTheme="majorBidi" w:cstheme="majorBidi"/>
          <w:sz w:val="24"/>
          <w:szCs w:val="24"/>
        </w:rPr>
        <w:t xml:space="preserve"> doğru bir yönelimdir</w:t>
      </w:r>
      <w:r w:rsidR="00543A62" w:rsidRPr="00D212EE">
        <w:rPr>
          <w:rStyle w:val="FootnoteReference"/>
          <w:rFonts w:asciiTheme="majorBidi" w:hAnsiTheme="majorBidi" w:cstheme="majorBidi"/>
          <w:sz w:val="24"/>
          <w:szCs w:val="24"/>
        </w:rPr>
        <w:footnoteReference w:id="44"/>
      </w:r>
      <w:r w:rsidR="00891B12" w:rsidRPr="00D212EE">
        <w:rPr>
          <w:rFonts w:asciiTheme="majorBidi" w:hAnsiTheme="majorBidi" w:cstheme="majorBidi"/>
          <w:sz w:val="24"/>
          <w:szCs w:val="24"/>
        </w:rPr>
        <w:t>.</w:t>
      </w:r>
    </w:p>
    <w:p w14:paraId="506C4E38" w14:textId="09D89ED3" w:rsidR="00891B1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sekülarizasyon ve </w:t>
      </w:r>
      <w:proofErr w:type="spellStart"/>
      <w:r w:rsidR="00891B12" w:rsidRPr="00D212EE">
        <w:rPr>
          <w:rFonts w:asciiTheme="majorBidi" w:hAnsiTheme="majorBidi" w:cstheme="majorBidi"/>
          <w:sz w:val="24"/>
          <w:szCs w:val="24"/>
        </w:rPr>
        <w:t>desakralizasyon</w:t>
      </w:r>
      <w:proofErr w:type="spellEnd"/>
      <w:r w:rsidR="00891B12" w:rsidRPr="00D212EE">
        <w:rPr>
          <w:rFonts w:asciiTheme="majorBidi" w:hAnsiTheme="majorBidi" w:cstheme="majorBidi"/>
          <w:sz w:val="24"/>
          <w:szCs w:val="24"/>
        </w:rPr>
        <w:t xml:space="preserve"> hamlesi, Endonezya’da liberal ve ilerici bir İslam anlayışının yolunu açmış, ancak muhafazakar çevrelerde şiddetli tepkilere de neden olmuştur. 2005 yılında </w:t>
      </w:r>
      <w:proofErr w:type="spellStart"/>
      <w:r w:rsidR="00543A62" w:rsidRPr="00D212EE">
        <w:rPr>
          <w:rFonts w:asciiTheme="majorBidi" w:hAnsiTheme="majorBidi" w:cstheme="majorBidi"/>
          <w:sz w:val="24"/>
          <w:szCs w:val="24"/>
        </w:rPr>
        <w:t>Majelis</w:t>
      </w:r>
      <w:proofErr w:type="spellEnd"/>
      <w:r w:rsidR="00543A62" w:rsidRPr="00D212EE">
        <w:rPr>
          <w:rFonts w:asciiTheme="majorBidi" w:hAnsiTheme="majorBidi" w:cstheme="majorBidi"/>
          <w:sz w:val="24"/>
          <w:szCs w:val="24"/>
        </w:rPr>
        <w:t xml:space="preserve"> Ulama </w:t>
      </w:r>
      <w:proofErr w:type="spellStart"/>
      <w:r w:rsidR="00543A62" w:rsidRPr="00D212EE">
        <w:rPr>
          <w:rFonts w:asciiTheme="majorBidi" w:hAnsiTheme="majorBidi" w:cstheme="majorBidi"/>
          <w:sz w:val="24"/>
          <w:szCs w:val="24"/>
        </w:rPr>
        <w:t>Indonesia</w:t>
      </w:r>
      <w:proofErr w:type="spellEnd"/>
      <w:r w:rsidR="00543A62" w:rsidRPr="00D212EE">
        <w:rPr>
          <w:rStyle w:val="FootnoteReference"/>
          <w:rFonts w:asciiTheme="majorBidi" w:hAnsiTheme="majorBidi" w:cstheme="majorBidi"/>
          <w:sz w:val="24"/>
          <w:szCs w:val="24"/>
        </w:rPr>
        <w:footnoteReference w:id="45"/>
      </w:r>
      <w:r w:rsidR="00543A62" w:rsidRPr="00D212EE">
        <w:rPr>
          <w:rFonts w:asciiTheme="majorBidi" w:hAnsiTheme="majorBidi" w:cstheme="majorBidi"/>
          <w:sz w:val="24"/>
          <w:szCs w:val="24"/>
        </w:rPr>
        <w:t xml:space="preserve"> (</w:t>
      </w:r>
      <w:r w:rsidR="00891B12" w:rsidRPr="00D212EE">
        <w:rPr>
          <w:rFonts w:asciiTheme="majorBidi" w:hAnsiTheme="majorBidi" w:cstheme="majorBidi"/>
          <w:sz w:val="24"/>
          <w:szCs w:val="24"/>
        </w:rPr>
        <w:t>MUI</w:t>
      </w:r>
      <w:r w:rsidR="00543A62" w:rsidRPr="00D212EE">
        <w:rPr>
          <w:rFonts w:asciiTheme="majorBidi" w:hAnsiTheme="majorBidi" w:cstheme="majorBidi"/>
          <w:sz w:val="24"/>
          <w:szCs w:val="24"/>
        </w:rPr>
        <w:t>)</w:t>
      </w:r>
      <w:r w:rsidR="00891B12" w:rsidRPr="00D212EE">
        <w:rPr>
          <w:rFonts w:asciiTheme="majorBidi" w:hAnsiTheme="majorBidi" w:cstheme="majorBidi"/>
          <w:sz w:val="24"/>
          <w:szCs w:val="24"/>
        </w:rPr>
        <w:t xml:space="preserve"> tarafından yayımlanan ve </w:t>
      </w:r>
      <w:r w:rsidR="001B4935">
        <w:rPr>
          <w:rFonts w:asciiTheme="majorBidi" w:hAnsiTheme="majorBidi" w:cstheme="majorBidi"/>
          <w:sz w:val="24"/>
          <w:szCs w:val="24"/>
        </w:rPr>
        <w:t>“</w:t>
      </w:r>
      <w:r w:rsidR="00891B12" w:rsidRPr="00D212EE">
        <w:rPr>
          <w:rFonts w:asciiTheme="majorBidi" w:hAnsiTheme="majorBidi" w:cstheme="majorBidi"/>
          <w:sz w:val="24"/>
          <w:szCs w:val="24"/>
        </w:rPr>
        <w:t>sekülarizm, liberalizm ve çoğulculuğu</w:t>
      </w:r>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yasaklayan fetva, </w:t>
      </w: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açtığı bu yola karşı bir direnç göstergesidir. Eleştirenler, </w:t>
      </w:r>
      <w:proofErr w:type="spellStart"/>
      <w:r w:rsidRPr="00D212EE">
        <w:rPr>
          <w:rFonts w:asciiTheme="majorBidi" w:hAnsiTheme="majorBidi" w:cstheme="majorBidi"/>
          <w:sz w:val="24"/>
          <w:szCs w:val="24"/>
        </w:rPr>
        <w:t>Mâcid</w:t>
      </w:r>
      <w:r w:rsidR="00891B12" w:rsidRPr="00D212EE">
        <w:rPr>
          <w:rFonts w:asciiTheme="majorBidi" w:hAnsiTheme="majorBidi" w:cstheme="majorBidi"/>
          <w:sz w:val="24"/>
          <w:szCs w:val="24"/>
        </w:rPr>
        <w:t>’in</w:t>
      </w:r>
      <w:proofErr w:type="spellEnd"/>
      <w:r w:rsidR="00891B12" w:rsidRPr="00D212EE">
        <w:rPr>
          <w:rFonts w:asciiTheme="majorBidi" w:hAnsiTheme="majorBidi" w:cstheme="majorBidi"/>
          <w:sz w:val="24"/>
          <w:szCs w:val="24"/>
        </w:rPr>
        <w:t xml:space="preserve"> </w:t>
      </w:r>
      <w:r w:rsidR="001B4935">
        <w:rPr>
          <w:rFonts w:asciiTheme="majorBidi" w:hAnsiTheme="majorBidi" w:cstheme="majorBidi"/>
          <w:sz w:val="24"/>
          <w:szCs w:val="24"/>
        </w:rPr>
        <w:t>“</w:t>
      </w:r>
      <w:proofErr w:type="spellStart"/>
      <w:r w:rsidR="00891B12" w:rsidRPr="00D212EE">
        <w:rPr>
          <w:rFonts w:asciiTheme="majorBidi" w:hAnsiTheme="majorBidi" w:cstheme="majorBidi"/>
          <w:sz w:val="24"/>
          <w:szCs w:val="24"/>
        </w:rPr>
        <w:t>desakralizasyon</w:t>
      </w:r>
      <w:proofErr w:type="spellEnd"/>
      <w:r w:rsidR="001B4935">
        <w:rPr>
          <w:rFonts w:asciiTheme="majorBidi" w:hAnsiTheme="majorBidi" w:cstheme="majorBidi"/>
          <w:sz w:val="24"/>
          <w:szCs w:val="24"/>
        </w:rPr>
        <w:t>”</w:t>
      </w:r>
      <w:r w:rsidR="00891B12" w:rsidRPr="00D212EE">
        <w:rPr>
          <w:rFonts w:asciiTheme="majorBidi" w:hAnsiTheme="majorBidi" w:cstheme="majorBidi"/>
          <w:sz w:val="24"/>
          <w:szCs w:val="24"/>
        </w:rPr>
        <w:t xml:space="preserve"> sürecinin dini sembolleri anlamsızlaştırarak, İslam’ın toplumsal kimliğini zayıflattığını iddia ederler</w:t>
      </w:r>
      <w:r w:rsidR="000409FA" w:rsidRPr="00D212EE">
        <w:rPr>
          <w:rStyle w:val="FootnoteReference"/>
          <w:rFonts w:asciiTheme="majorBidi" w:hAnsiTheme="majorBidi" w:cstheme="majorBidi"/>
          <w:sz w:val="24"/>
          <w:szCs w:val="24"/>
        </w:rPr>
        <w:footnoteReference w:id="46"/>
      </w:r>
      <w:r w:rsidR="00891B12" w:rsidRPr="00D212EE">
        <w:rPr>
          <w:rFonts w:asciiTheme="majorBidi" w:hAnsiTheme="majorBidi" w:cstheme="majorBidi"/>
          <w:sz w:val="24"/>
          <w:szCs w:val="24"/>
        </w:rPr>
        <w:t>.</w:t>
      </w:r>
    </w:p>
    <w:p w14:paraId="4E8659D0" w14:textId="2BEA81AE" w:rsidR="008F66D2" w:rsidRPr="00D212EE" w:rsidRDefault="008F66D2" w:rsidP="00FE6A96">
      <w:pPr>
        <w:pStyle w:val="Heading2"/>
        <w:spacing w:line="360" w:lineRule="auto"/>
        <w:jc w:val="both"/>
      </w:pPr>
      <w:bookmarkStart w:id="36" w:name="_Toc218886233"/>
      <w:bookmarkStart w:id="37" w:name="_Toc218901293"/>
      <w:bookmarkStart w:id="38" w:name="_Toc219409254"/>
      <w:proofErr w:type="spellStart"/>
      <w:r w:rsidRPr="00D212EE">
        <w:lastRenderedPageBreak/>
        <w:t>Pancasila</w:t>
      </w:r>
      <w:proofErr w:type="spellEnd"/>
      <w:r w:rsidRPr="00D212EE">
        <w:t xml:space="preserve"> ve </w:t>
      </w:r>
      <w:proofErr w:type="spellStart"/>
      <w:r w:rsidRPr="00D212EE">
        <w:t>K</w:t>
      </w:r>
      <w:r w:rsidR="0039292E">
        <w:t>e</w:t>
      </w:r>
      <w:r w:rsidRPr="00D212EE">
        <w:t>lim</w:t>
      </w:r>
      <w:r w:rsidR="0039292E">
        <w:t>e</w:t>
      </w:r>
      <w:r w:rsidRPr="00D212EE">
        <w:t>t</w:t>
      </w:r>
      <w:r w:rsidR="0039292E">
        <w:t>ü</w:t>
      </w:r>
      <w:r w:rsidRPr="00D212EE">
        <w:t>n</w:t>
      </w:r>
      <w:proofErr w:type="spellEnd"/>
      <w:r w:rsidRPr="00D212EE">
        <w:t xml:space="preserve"> Sa</w:t>
      </w:r>
      <w:r w:rsidR="002C4F84">
        <w:t>v</w:t>
      </w:r>
      <w:r w:rsidRPr="00D212EE">
        <w:t>a</w:t>
      </w:r>
      <w:bookmarkEnd w:id="36"/>
      <w:bookmarkEnd w:id="37"/>
      <w:r w:rsidR="002C4F84">
        <w:t>’</w:t>
      </w:r>
      <w:bookmarkEnd w:id="38"/>
    </w:p>
    <w:p w14:paraId="5991C2E2" w14:textId="77777777" w:rsidR="00F57C70" w:rsidRDefault="002B540D" w:rsidP="00F57C70">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 xml:space="preserve">, Endonezya Cumhuriyeti'nin resmi devlet ideolojisidir ve ulus devletin felsefi temeli olarak işlev görür. 1945'teki bağımsızlık zamanında formüle edilen bu ideoloji, beş ilke içerir: </w:t>
      </w:r>
    </w:p>
    <w:p w14:paraId="2BD60240" w14:textId="5E79C1BF" w:rsidR="00F57C70" w:rsidRPr="00F57C70" w:rsidRDefault="002B540D" w:rsidP="00F57C70">
      <w:pPr>
        <w:pStyle w:val="ListParagraph"/>
        <w:numPr>
          <w:ilvl w:val="0"/>
          <w:numId w:val="4"/>
        </w:numPr>
        <w:spacing w:line="360" w:lineRule="auto"/>
        <w:jc w:val="both"/>
        <w:rPr>
          <w:rFonts w:asciiTheme="majorBidi" w:hAnsiTheme="majorBidi" w:cstheme="majorBidi"/>
          <w:sz w:val="24"/>
          <w:szCs w:val="24"/>
        </w:rPr>
      </w:pPr>
      <w:r w:rsidRPr="00F57C70">
        <w:rPr>
          <w:rFonts w:asciiTheme="majorBidi" w:hAnsiTheme="majorBidi" w:cstheme="majorBidi"/>
          <w:sz w:val="24"/>
          <w:szCs w:val="24"/>
        </w:rPr>
        <w:t>Tek ve Yegâne Tanrı'ya inanma</w:t>
      </w:r>
      <w:r w:rsidR="00F57C70">
        <w:rPr>
          <w:rFonts w:asciiTheme="majorBidi" w:hAnsiTheme="majorBidi" w:cstheme="majorBidi"/>
          <w:sz w:val="24"/>
          <w:szCs w:val="24"/>
        </w:rPr>
        <w:t xml:space="preserve"> (Allah kelimesi kullanılmadı)</w:t>
      </w:r>
    </w:p>
    <w:p w14:paraId="4554DE0E" w14:textId="77777777" w:rsidR="00F57C70" w:rsidRPr="00F57C70" w:rsidRDefault="00F57C70" w:rsidP="00F57C70">
      <w:pPr>
        <w:pStyle w:val="ListParagraph"/>
        <w:numPr>
          <w:ilvl w:val="0"/>
          <w:numId w:val="4"/>
        </w:numPr>
        <w:spacing w:line="360" w:lineRule="auto"/>
        <w:jc w:val="both"/>
        <w:rPr>
          <w:rFonts w:asciiTheme="majorBidi" w:hAnsiTheme="majorBidi" w:cstheme="majorBidi"/>
          <w:sz w:val="24"/>
          <w:szCs w:val="24"/>
        </w:rPr>
      </w:pPr>
      <w:r w:rsidRPr="00F57C70">
        <w:rPr>
          <w:rFonts w:asciiTheme="majorBidi" w:hAnsiTheme="majorBidi" w:cstheme="majorBidi"/>
          <w:sz w:val="24"/>
          <w:szCs w:val="24"/>
        </w:rPr>
        <w:t>A</w:t>
      </w:r>
      <w:r w:rsidR="002B540D" w:rsidRPr="00F57C70">
        <w:rPr>
          <w:rFonts w:asciiTheme="majorBidi" w:hAnsiTheme="majorBidi" w:cstheme="majorBidi"/>
          <w:sz w:val="24"/>
          <w:szCs w:val="24"/>
        </w:rPr>
        <w:t>dil ve medeni insanlık</w:t>
      </w:r>
    </w:p>
    <w:p w14:paraId="23954CC4" w14:textId="77777777" w:rsidR="00F57C70" w:rsidRPr="00F57C70" w:rsidRDefault="002B540D" w:rsidP="00F57C70">
      <w:pPr>
        <w:pStyle w:val="ListParagraph"/>
        <w:numPr>
          <w:ilvl w:val="0"/>
          <w:numId w:val="4"/>
        </w:numPr>
        <w:spacing w:line="360" w:lineRule="auto"/>
        <w:jc w:val="both"/>
        <w:rPr>
          <w:rFonts w:asciiTheme="majorBidi" w:hAnsiTheme="majorBidi" w:cstheme="majorBidi"/>
          <w:sz w:val="24"/>
          <w:szCs w:val="24"/>
        </w:rPr>
      </w:pPr>
      <w:r w:rsidRPr="00F57C70">
        <w:rPr>
          <w:rFonts w:asciiTheme="majorBidi" w:hAnsiTheme="majorBidi" w:cstheme="majorBidi"/>
          <w:sz w:val="24"/>
          <w:szCs w:val="24"/>
        </w:rPr>
        <w:t>Endonezya'nın birliği</w:t>
      </w:r>
    </w:p>
    <w:p w14:paraId="3F7A7890" w14:textId="381788D6" w:rsidR="00F57C70" w:rsidRPr="00F57C70" w:rsidRDefault="00F57C70" w:rsidP="00F57C70">
      <w:pPr>
        <w:pStyle w:val="ListParagraph"/>
        <w:numPr>
          <w:ilvl w:val="0"/>
          <w:numId w:val="4"/>
        </w:numPr>
        <w:spacing w:line="360" w:lineRule="auto"/>
        <w:jc w:val="both"/>
        <w:rPr>
          <w:rFonts w:asciiTheme="majorBidi" w:hAnsiTheme="majorBidi" w:cstheme="majorBidi"/>
          <w:sz w:val="24"/>
          <w:szCs w:val="24"/>
        </w:rPr>
      </w:pPr>
      <w:r w:rsidRPr="00F57C70">
        <w:rPr>
          <w:rFonts w:asciiTheme="majorBidi" w:hAnsiTheme="majorBidi" w:cstheme="majorBidi"/>
          <w:sz w:val="24"/>
          <w:szCs w:val="24"/>
        </w:rPr>
        <w:t>Müzakereye</w:t>
      </w:r>
      <w:r w:rsidR="002B540D" w:rsidRPr="00F57C70">
        <w:rPr>
          <w:rFonts w:asciiTheme="majorBidi" w:hAnsiTheme="majorBidi" w:cstheme="majorBidi"/>
          <w:sz w:val="24"/>
          <w:szCs w:val="24"/>
        </w:rPr>
        <w:t xml:space="preserve"> dayalı demokrasi</w:t>
      </w:r>
    </w:p>
    <w:p w14:paraId="7F2C0EFB" w14:textId="77777777" w:rsidR="00F57C70" w:rsidRPr="00F57C70" w:rsidRDefault="00F57C70" w:rsidP="00F57C70">
      <w:pPr>
        <w:pStyle w:val="ListParagraph"/>
        <w:numPr>
          <w:ilvl w:val="0"/>
          <w:numId w:val="4"/>
        </w:numPr>
        <w:spacing w:line="360" w:lineRule="auto"/>
        <w:jc w:val="both"/>
        <w:rPr>
          <w:rFonts w:asciiTheme="majorBidi" w:hAnsiTheme="majorBidi" w:cstheme="majorBidi"/>
          <w:sz w:val="24"/>
          <w:szCs w:val="24"/>
        </w:rPr>
      </w:pPr>
      <w:r w:rsidRPr="00F57C70">
        <w:rPr>
          <w:rFonts w:asciiTheme="majorBidi" w:hAnsiTheme="majorBidi" w:cstheme="majorBidi"/>
          <w:sz w:val="24"/>
          <w:szCs w:val="24"/>
        </w:rPr>
        <w:t>Tüm</w:t>
      </w:r>
      <w:r w:rsidR="002B540D" w:rsidRPr="00F57C70">
        <w:rPr>
          <w:rFonts w:asciiTheme="majorBidi" w:hAnsiTheme="majorBidi" w:cstheme="majorBidi"/>
          <w:sz w:val="24"/>
          <w:szCs w:val="24"/>
        </w:rPr>
        <w:t xml:space="preserve"> vatandaşlar için sosyal adalet</w:t>
      </w:r>
      <w:r w:rsidR="002B540D" w:rsidRPr="00D212EE">
        <w:rPr>
          <w:rStyle w:val="FootnoteReference"/>
          <w:rFonts w:asciiTheme="majorBidi" w:hAnsiTheme="majorBidi" w:cstheme="majorBidi"/>
          <w:sz w:val="24"/>
          <w:szCs w:val="24"/>
        </w:rPr>
        <w:footnoteReference w:id="47"/>
      </w:r>
      <w:r w:rsidR="002B540D" w:rsidRPr="00F57C70">
        <w:rPr>
          <w:rFonts w:asciiTheme="majorBidi" w:hAnsiTheme="majorBidi" w:cstheme="majorBidi"/>
          <w:sz w:val="24"/>
          <w:szCs w:val="24"/>
        </w:rPr>
        <w:t xml:space="preserve">. </w:t>
      </w:r>
    </w:p>
    <w:p w14:paraId="56B3DE1D" w14:textId="431B08C4" w:rsidR="002B540D" w:rsidRPr="00D212EE" w:rsidRDefault="002B540D" w:rsidP="00F57C70">
      <w:pPr>
        <w:spacing w:line="360" w:lineRule="auto"/>
        <w:jc w:val="both"/>
        <w:rPr>
          <w:rFonts w:asciiTheme="majorBidi" w:hAnsiTheme="majorBidi" w:cstheme="majorBidi"/>
          <w:sz w:val="24"/>
          <w:szCs w:val="24"/>
        </w:rPr>
      </w:pPr>
      <w:r w:rsidRPr="00D212EE">
        <w:rPr>
          <w:rFonts w:asciiTheme="majorBidi" w:hAnsiTheme="majorBidi" w:cstheme="majorBidi"/>
          <w:sz w:val="24"/>
          <w:szCs w:val="24"/>
        </w:rPr>
        <w:t xml:space="preserve">Önemli olan, </w:t>
      </w:r>
      <w:proofErr w:type="spellStart"/>
      <w:r w:rsidRPr="00D212EE">
        <w:rPr>
          <w:rFonts w:asciiTheme="majorBidi" w:hAnsiTheme="majorBidi" w:cstheme="majorBidi"/>
          <w:sz w:val="24"/>
          <w:szCs w:val="24"/>
        </w:rPr>
        <w:t>Pancasila'nın</w:t>
      </w:r>
      <w:proofErr w:type="spellEnd"/>
      <w:r w:rsidRPr="00D212EE">
        <w:rPr>
          <w:rFonts w:asciiTheme="majorBidi" w:hAnsiTheme="majorBidi" w:cstheme="majorBidi"/>
          <w:sz w:val="24"/>
          <w:szCs w:val="24"/>
        </w:rPr>
        <w:t xml:space="preserve"> açıkça mezhepsel olmamasıdır. Tanrı'ya inanmanın gerekliliğini onaylarken, herhangi bir dine ayrıcalık tanımaz ve böylece Endonezya'nın son derece çoğulcu dini ve kültürel ortamı için ortak bir etik ve siyasi çerçeve sağlar. Birincil amacı teolojiyi düzenlemek veya dini hukuku dayatmak değil, çok dinli bir toplumda ulusal birliği, barış içinde bir arada yaşamayı ve ahlaki temellere dayalı bir kamu düzenini güvence altına almaktır.</w:t>
      </w:r>
    </w:p>
    <w:p w14:paraId="77B7B2B0" w14:textId="16BE04A9" w:rsidR="002B540D" w:rsidRPr="00D212EE" w:rsidRDefault="002B540D"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düşünce sisteminde Endonezya'nın ulusal kimliği ile İslam'ın evrensel ilkeleri arasında kurulan </w:t>
      </w:r>
      <w:r w:rsidR="001B4935">
        <w:rPr>
          <w:rFonts w:asciiTheme="majorBidi" w:hAnsiTheme="majorBidi" w:cstheme="majorBidi"/>
          <w:sz w:val="24"/>
          <w:szCs w:val="24"/>
        </w:rPr>
        <w:t>‘</w:t>
      </w:r>
      <w:r w:rsidRPr="00D212EE">
        <w:rPr>
          <w:rFonts w:asciiTheme="majorBidi" w:hAnsiTheme="majorBidi" w:cstheme="majorBidi"/>
          <w:sz w:val="24"/>
          <w:szCs w:val="24"/>
        </w:rPr>
        <w:t xml:space="preserve">toplumsal </w:t>
      </w:r>
      <w:proofErr w:type="spellStart"/>
      <w:r w:rsidRPr="00D212EE">
        <w:rPr>
          <w:rFonts w:asciiTheme="majorBidi" w:hAnsiTheme="majorBidi" w:cstheme="majorBidi"/>
          <w:sz w:val="24"/>
          <w:szCs w:val="24"/>
        </w:rPr>
        <w:t>sözleşme</w:t>
      </w:r>
      <w:r w:rsidR="001B4935">
        <w:rPr>
          <w:rFonts w:asciiTheme="majorBidi" w:hAnsiTheme="majorBidi" w:cstheme="majorBidi"/>
          <w:sz w:val="24"/>
          <w:szCs w:val="24"/>
        </w:rPr>
        <w:t>’</w:t>
      </w:r>
      <w:r w:rsidRPr="00D212EE">
        <w:rPr>
          <w:rFonts w:asciiTheme="majorBidi" w:hAnsiTheme="majorBidi" w:cstheme="majorBidi"/>
          <w:sz w:val="24"/>
          <w:szCs w:val="24"/>
        </w:rPr>
        <w:t>nin</w:t>
      </w:r>
      <w:proofErr w:type="spellEnd"/>
      <w:r w:rsidRPr="00D212EE">
        <w:rPr>
          <w:rFonts w:asciiTheme="majorBidi" w:hAnsiTheme="majorBidi" w:cstheme="majorBidi"/>
          <w:sz w:val="24"/>
          <w:szCs w:val="24"/>
        </w:rPr>
        <w:t xml:space="preserve"> yasal ve ideolojik zeminidir.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Pancasila'yı</w:t>
      </w:r>
      <w:proofErr w:type="spellEnd"/>
      <w:r w:rsidRPr="00D212EE">
        <w:rPr>
          <w:rFonts w:asciiTheme="majorBidi" w:hAnsiTheme="majorBidi" w:cstheme="majorBidi"/>
          <w:sz w:val="24"/>
          <w:szCs w:val="24"/>
        </w:rPr>
        <w:t xml:space="preserve"> ne dini bir teokrasinin ne de dine düşman bir sekülerizmin ürünü olarak görür; aksine onu, farklı inanç gruplarının bir arada yaşamasını sağlayan modern bir </w:t>
      </w:r>
      <w:r w:rsidR="001B4935">
        <w:rPr>
          <w:rFonts w:asciiTheme="majorBidi" w:hAnsiTheme="majorBidi" w:cstheme="majorBidi"/>
          <w:sz w:val="24"/>
          <w:szCs w:val="24"/>
        </w:rPr>
        <w:t>“</w:t>
      </w:r>
      <w:r w:rsidRPr="00D212EE">
        <w:rPr>
          <w:rFonts w:asciiTheme="majorBidi" w:hAnsiTheme="majorBidi" w:cstheme="majorBidi"/>
          <w:sz w:val="24"/>
          <w:szCs w:val="24"/>
        </w:rPr>
        <w:t>Medine Vesikası</w:t>
      </w:r>
      <w:r w:rsidR="001B4935">
        <w:rPr>
          <w:rFonts w:asciiTheme="majorBidi" w:hAnsiTheme="majorBidi" w:cstheme="majorBidi"/>
          <w:sz w:val="24"/>
          <w:szCs w:val="24"/>
        </w:rPr>
        <w:t>”</w:t>
      </w:r>
      <w:r w:rsidRPr="00D212EE">
        <w:rPr>
          <w:rFonts w:asciiTheme="majorBidi" w:hAnsiTheme="majorBidi" w:cstheme="majorBidi"/>
          <w:sz w:val="24"/>
          <w:szCs w:val="24"/>
        </w:rPr>
        <w:t xml:space="preserve"> olarak tanımlar</w:t>
      </w:r>
      <w:r w:rsidR="000D366E" w:rsidRPr="00D212EE">
        <w:rPr>
          <w:rStyle w:val="FootnoteReference"/>
          <w:rFonts w:asciiTheme="majorBidi" w:hAnsiTheme="majorBidi" w:cstheme="majorBidi"/>
          <w:sz w:val="24"/>
          <w:szCs w:val="24"/>
        </w:rPr>
        <w:footnoteReference w:id="48"/>
      </w:r>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Pancasila'nın</w:t>
      </w:r>
      <w:proofErr w:type="spellEnd"/>
      <w:r w:rsidRPr="00D212EE">
        <w:rPr>
          <w:rFonts w:asciiTheme="majorBidi" w:hAnsiTheme="majorBidi" w:cstheme="majorBidi"/>
          <w:sz w:val="24"/>
          <w:szCs w:val="24"/>
        </w:rPr>
        <w:t xml:space="preserve"> ilk ilkesi olan </w:t>
      </w:r>
      <w:r w:rsidR="001B4935">
        <w:rPr>
          <w:rFonts w:asciiTheme="majorBidi" w:hAnsiTheme="majorBidi" w:cstheme="majorBidi"/>
          <w:sz w:val="24"/>
          <w:szCs w:val="24"/>
        </w:rPr>
        <w:t>“</w:t>
      </w:r>
      <w:r w:rsidRPr="00D212EE">
        <w:rPr>
          <w:rFonts w:asciiTheme="majorBidi" w:hAnsiTheme="majorBidi" w:cstheme="majorBidi"/>
          <w:sz w:val="24"/>
          <w:szCs w:val="24"/>
        </w:rPr>
        <w:t>Tek Tanrı İnancı</w:t>
      </w:r>
      <w:r w:rsidR="001B4935">
        <w:rPr>
          <w:rFonts w:asciiTheme="majorBidi" w:hAnsiTheme="majorBidi" w:cstheme="majorBidi"/>
          <w:sz w:val="24"/>
          <w:szCs w:val="24"/>
        </w:rPr>
        <w:t>”</w:t>
      </w:r>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için İslam'ın Tevhid ilkesinin kapsayıcı bir tezahürüdür ve bu ilke, tüm vatandaşların ortak bir ahlaki zeminde buluşmasını sağlar.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w:t>
      </w:r>
      <w:r w:rsidR="001B4935">
        <w:rPr>
          <w:rFonts w:asciiTheme="majorBidi" w:hAnsiTheme="majorBidi" w:cstheme="majorBidi"/>
          <w:sz w:val="24"/>
          <w:szCs w:val="24"/>
        </w:rPr>
        <w:t>“</w:t>
      </w:r>
      <w:r w:rsidRPr="00D212EE">
        <w:rPr>
          <w:rFonts w:asciiTheme="majorBidi" w:hAnsiTheme="majorBidi" w:cstheme="majorBidi"/>
          <w:sz w:val="24"/>
          <w:szCs w:val="24"/>
        </w:rPr>
        <w:t xml:space="preserve">İslam </w:t>
      </w:r>
      <w:proofErr w:type="spellStart"/>
      <w:r w:rsidRPr="00D212EE">
        <w:rPr>
          <w:rFonts w:asciiTheme="majorBidi" w:hAnsiTheme="majorBidi" w:cstheme="majorBidi"/>
          <w:sz w:val="24"/>
          <w:szCs w:val="24"/>
        </w:rPr>
        <w:t>Yes</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Partai</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Islam</w:t>
      </w:r>
      <w:proofErr w:type="spellEnd"/>
      <w:r w:rsidRPr="00D212EE">
        <w:rPr>
          <w:rFonts w:asciiTheme="majorBidi" w:hAnsiTheme="majorBidi" w:cstheme="majorBidi"/>
          <w:sz w:val="24"/>
          <w:szCs w:val="24"/>
        </w:rPr>
        <w:t xml:space="preserve"> No</w:t>
      </w:r>
      <w:r w:rsidR="001B4935">
        <w:rPr>
          <w:rFonts w:asciiTheme="majorBidi" w:hAnsiTheme="majorBidi" w:cstheme="majorBidi"/>
          <w:sz w:val="24"/>
          <w:szCs w:val="24"/>
        </w:rPr>
        <w:t>”</w:t>
      </w:r>
      <w:r w:rsidRPr="00D212EE">
        <w:rPr>
          <w:rFonts w:asciiTheme="majorBidi" w:hAnsiTheme="majorBidi" w:cstheme="majorBidi"/>
          <w:sz w:val="24"/>
          <w:szCs w:val="24"/>
        </w:rPr>
        <w:t xml:space="preserve"> sloganı, İslam'ın sembolik bir politik etikete hapsedilmesine karşı bir duruştur; ona göre İslam'ın özü, devletin isminde değil, </w:t>
      </w: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 xml:space="preserve"> aracılığıyla hayata geçirilen adalet, eşitlik ve şura gibi değerlerde gizlidir. </w:t>
      </w:r>
      <w:proofErr w:type="spellStart"/>
      <w:r w:rsidRPr="00D212EE">
        <w:rPr>
          <w:rFonts w:asciiTheme="majorBidi" w:hAnsiTheme="majorBidi" w:cstheme="majorBidi"/>
          <w:sz w:val="24"/>
          <w:szCs w:val="24"/>
        </w:rPr>
        <w:t>Pancasila</w:t>
      </w:r>
      <w:proofErr w:type="spellEnd"/>
      <w:r w:rsidRPr="00D212EE">
        <w:rPr>
          <w:rFonts w:asciiTheme="majorBidi" w:hAnsiTheme="majorBidi" w:cstheme="majorBidi"/>
          <w:sz w:val="24"/>
          <w:szCs w:val="24"/>
        </w:rPr>
        <w:t xml:space="preserve"> bu yönüyle,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tarafından </w:t>
      </w:r>
      <w:r w:rsidR="001B4935">
        <w:rPr>
          <w:rFonts w:asciiTheme="majorBidi" w:hAnsiTheme="majorBidi" w:cstheme="majorBidi"/>
          <w:sz w:val="24"/>
          <w:szCs w:val="24"/>
        </w:rPr>
        <w:t>“</w:t>
      </w:r>
      <w:r w:rsidRPr="00D212EE">
        <w:rPr>
          <w:rFonts w:asciiTheme="majorBidi" w:hAnsiTheme="majorBidi" w:cstheme="majorBidi"/>
          <w:sz w:val="24"/>
          <w:szCs w:val="24"/>
        </w:rPr>
        <w:t>açık bir ideoloji</w:t>
      </w:r>
      <w:r w:rsidR="001B4935">
        <w:rPr>
          <w:rFonts w:asciiTheme="majorBidi" w:hAnsiTheme="majorBidi" w:cstheme="majorBidi"/>
          <w:sz w:val="24"/>
          <w:szCs w:val="24"/>
        </w:rPr>
        <w:t>”</w:t>
      </w:r>
      <w:r w:rsidRPr="00D212EE">
        <w:rPr>
          <w:rFonts w:asciiTheme="majorBidi" w:hAnsiTheme="majorBidi" w:cstheme="majorBidi"/>
          <w:sz w:val="24"/>
          <w:szCs w:val="24"/>
        </w:rPr>
        <w:t xml:space="preserve"> olarak nitelendirilir; yani donmuş bir formül değil, toplumsal değişimlere uyum sağlayabilen ve farklılıkları bütünleştiren dinamik bir süreçtir</w:t>
      </w:r>
      <w:r w:rsidR="000D366E" w:rsidRPr="00D212EE">
        <w:rPr>
          <w:rStyle w:val="FootnoteReference"/>
          <w:rFonts w:asciiTheme="majorBidi" w:hAnsiTheme="majorBidi" w:cstheme="majorBidi"/>
          <w:sz w:val="24"/>
          <w:szCs w:val="24"/>
        </w:rPr>
        <w:footnoteReference w:id="49"/>
      </w:r>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Yudian</w:t>
      </w:r>
      <w:proofErr w:type="spellEnd"/>
      <w:r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Wahyudi</w:t>
      </w:r>
      <w:proofErr w:type="spellEnd"/>
      <w:r w:rsidRPr="00D212EE">
        <w:rPr>
          <w:rFonts w:asciiTheme="majorBidi" w:hAnsiTheme="majorBidi" w:cstheme="majorBidi"/>
          <w:sz w:val="24"/>
          <w:szCs w:val="24"/>
        </w:rPr>
        <w:t xml:space="preserve"> gibi araştırmacılar,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bu yaklaşımını </w:t>
      </w:r>
      <w:proofErr w:type="spellStart"/>
      <w:r w:rsidRPr="00D212EE">
        <w:rPr>
          <w:rFonts w:asciiTheme="majorBidi" w:hAnsiTheme="majorBidi" w:cstheme="majorBidi"/>
          <w:sz w:val="24"/>
          <w:szCs w:val="24"/>
        </w:rPr>
        <w:t>makasid</w:t>
      </w:r>
      <w:proofErr w:type="spellEnd"/>
      <w:r w:rsidRPr="00D212EE">
        <w:rPr>
          <w:rFonts w:asciiTheme="majorBidi" w:hAnsiTheme="majorBidi" w:cstheme="majorBidi"/>
          <w:sz w:val="24"/>
          <w:szCs w:val="24"/>
        </w:rPr>
        <w:t xml:space="preserve">-i </w:t>
      </w:r>
      <w:proofErr w:type="spellStart"/>
      <w:r w:rsidRPr="00D212EE">
        <w:rPr>
          <w:rFonts w:asciiTheme="majorBidi" w:hAnsiTheme="majorBidi" w:cstheme="majorBidi"/>
          <w:sz w:val="24"/>
          <w:szCs w:val="24"/>
        </w:rPr>
        <w:t>şeria</w:t>
      </w:r>
      <w:proofErr w:type="spellEnd"/>
      <w:r w:rsidRPr="00D212EE">
        <w:rPr>
          <w:rFonts w:asciiTheme="majorBidi" w:hAnsiTheme="majorBidi" w:cstheme="majorBidi"/>
          <w:sz w:val="24"/>
          <w:szCs w:val="24"/>
        </w:rPr>
        <w:t xml:space="preserve"> ile ilişkilendirerek, </w:t>
      </w:r>
      <w:proofErr w:type="spellStart"/>
      <w:r w:rsidRPr="00D212EE">
        <w:rPr>
          <w:rFonts w:asciiTheme="majorBidi" w:hAnsiTheme="majorBidi" w:cstheme="majorBidi"/>
          <w:sz w:val="24"/>
          <w:szCs w:val="24"/>
        </w:rPr>
        <w:t>Pancasila'nın</w:t>
      </w:r>
      <w:proofErr w:type="spellEnd"/>
      <w:r w:rsidRPr="00D212EE">
        <w:rPr>
          <w:rFonts w:asciiTheme="majorBidi" w:hAnsiTheme="majorBidi" w:cstheme="majorBidi"/>
          <w:sz w:val="24"/>
          <w:szCs w:val="24"/>
        </w:rPr>
        <w:t xml:space="preserve"> can, akıl, </w:t>
      </w:r>
      <w:r w:rsidRPr="00D212EE">
        <w:rPr>
          <w:rFonts w:asciiTheme="majorBidi" w:hAnsiTheme="majorBidi" w:cstheme="majorBidi"/>
          <w:sz w:val="24"/>
          <w:szCs w:val="24"/>
        </w:rPr>
        <w:lastRenderedPageBreak/>
        <w:t>din, nesil ve mal emniyetini sağlayan yerel bir şeriat uygulaması olduğunu öne sürmüşlerdir</w:t>
      </w:r>
      <w:r w:rsidR="000D366E" w:rsidRPr="00D212EE">
        <w:rPr>
          <w:rStyle w:val="FootnoteReference"/>
          <w:rFonts w:asciiTheme="majorBidi" w:hAnsiTheme="majorBidi" w:cstheme="majorBidi"/>
          <w:sz w:val="24"/>
          <w:szCs w:val="24"/>
        </w:rPr>
        <w:footnoteReference w:id="50"/>
      </w:r>
      <w:r w:rsidRPr="00D212EE">
        <w:rPr>
          <w:rFonts w:asciiTheme="majorBidi" w:hAnsiTheme="majorBidi" w:cstheme="majorBidi"/>
          <w:sz w:val="24"/>
          <w:szCs w:val="24"/>
        </w:rPr>
        <w:t xml:space="preserve">. </w:t>
      </w:r>
      <w:r w:rsidR="000D366E" w:rsidRPr="00D212EE">
        <w:rPr>
          <w:rFonts w:asciiTheme="majorBidi" w:hAnsiTheme="majorBidi" w:cstheme="majorBidi"/>
          <w:sz w:val="24"/>
          <w:szCs w:val="24"/>
        </w:rPr>
        <w:t xml:space="preserve">Jeremy </w:t>
      </w:r>
      <w:proofErr w:type="spellStart"/>
      <w:r w:rsidR="000D366E" w:rsidRPr="00D212EE">
        <w:rPr>
          <w:rFonts w:asciiTheme="majorBidi" w:hAnsiTheme="majorBidi" w:cstheme="majorBidi"/>
          <w:sz w:val="24"/>
          <w:szCs w:val="24"/>
        </w:rPr>
        <w:t>Menchik</w:t>
      </w:r>
      <w:proofErr w:type="spellEnd"/>
      <w:r w:rsidR="000D366E" w:rsidRPr="00D212EE">
        <w:rPr>
          <w:rFonts w:asciiTheme="majorBidi" w:hAnsiTheme="majorBidi" w:cstheme="majorBidi"/>
          <w:sz w:val="24"/>
          <w:szCs w:val="24"/>
        </w:rPr>
        <w:t xml:space="preserve"> </w:t>
      </w:r>
      <w:proofErr w:type="spellStart"/>
      <w:r w:rsidR="000D366E" w:rsidRPr="00D212EE">
        <w:rPr>
          <w:rFonts w:asciiTheme="majorBidi" w:hAnsiTheme="majorBidi" w:cstheme="majorBidi"/>
          <w:sz w:val="24"/>
          <w:szCs w:val="24"/>
        </w:rPr>
        <w:t>Pancasila’yı</w:t>
      </w:r>
      <w:proofErr w:type="spellEnd"/>
      <w:r w:rsidR="000D366E" w:rsidRPr="00D212EE">
        <w:rPr>
          <w:rFonts w:asciiTheme="majorBidi" w:hAnsiTheme="majorBidi" w:cstheme="majorBidi"/>
          <w:sz w:val="24"/>
          <w:szCs w:val="24"/>
        </w:rPr>
        <w:t xml:space="preserve"> </w:t>
      </w:r>
      <w:r w:rsidR="001B4935">
        <w:rPr>
          <w:rFonts w:asciiTheme="majorBidi" w:hAnsiTheme="majorBidi" w:cstheme="majorBidi"/>
          <w:sz w:val="24"/>
          <w:szCs w:val="24"/>
        </w:rPr>
        <w:t>“</w:t>
      </w:r>
      <w:r w:rsidR="000D366E" w:rsidRPr="00D212EE">
        <w:rPr>
          <w:rFonts w:asciiTheme="majorBidi" w:hAnsiTheme="majorBidi" w:cstheme="majorBidi"/>
          <w:sz w:val="24"/>
          <w:szCs w:val="24"/>
        </w:rPr>
        <w:t>tanrısal milliyetçilik</w:t>
      </w:r>
      <w:r w:rsidR="001B4935">
        <w:rPr>
          <w:rFonts w:asciiTheme="majorBidi" w:hAnsiTheme="majorBidi" w:cstheme="majorBidi"/>
          <w:sz w:val="24"/>
          <w:szCs w:val="24"/>
        </w:rPr>
        <w:t>”</w:t>
      </w:r>
      <w:r w:rsidR="000D366E" w:rsidRPr="00D212EE">
        <w:rPr>
          <w:rFonts w:asciiTheme="majorBidi" w:hAnsiTheme="majorBidi" w:cstheme="majorBidi"/>
          <w:sz w:val="24"/>
          <w:szCs w:val="24"/>
        </w:rPr>
        <w:t xml:space="preserve"> olarak adlandırır</w:t>
      </w:r>
      <w:r w:rsidR="00861A50" w:rsidRPr="00D212EE">
        <w:rPr>
          <w:rStyle w:val="FootnoteReference"/>
          <w:rFonts w:asciiTheme="majorBidi" w:hAnsiTheme="majorBidi" w:cstheme="majorBidi"/>
          <w:sz w:val="24"/>
          <w:szCs w:val="24"/>
        </w:rPr>
        <w:footnoteReference w:id="51"/>
      </w:r>
      <w:r w:rsidR="000D366E" w:rsidRPr="00D212EE">
        <w:rPr>
          <w:rFonts w:asciiTheme="majorBidi" w:hAnsiTheme="majorBidi" w:cstheme="majorBidi"/>
          <w:sz w:val="24"/>
          <w:szCs w:val="24"/>
        </w:rPr>
        <w:t>.</w:t>
      </w:r>
      <w:r w:rsidRPr="00D212EE">
        <w:rPr>
          <w:rFonts w:asciiTheme="majorBidi" w:hAnsiTheme="majorBidi" w:cstheme="majorBidi"/>
          <w:sz w:val="24"/>
          <w:szCs w:val="24"/>
        </w:rPr>
        <w:t xml:space="preserve"> </w:t>
      </w:r>
    </w:p>
    <w:p w14:paraId="5D4F0259" w14:textId="77777777" w:rsidR="002B540D" w:rsidRPr="00D212EE" w:rsidRDefault="002B540D"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 xml:space="preserve">قُلْ يَٓا اَهْلَ الْكِتَابِ تَعَالَوْا اِلٰى </w:t>
      </w:r>
      <w:r w:rsidRPr="00D212EE">
        <w:rPr>
          <w:rFonts w:asciiTheme="majorBidi" w:hAnsiTheme="majorBidi" w:cstheme="majorBidi"/>
          <w:b/>
          <w:bCs/>
          <w:sz w:val="24"/>
          <w:szCs w:val="24"/>
          <w:rtl/>
        </w:rPr>
        <w:t>كَلِمَةٍ سَوَٓاءٍ</w:t>
      </w:r>
      <w:r w:rsidRPr="00D212EE">
        <w:rPr>
          <w:rFonts w:asciiTheme="majorBidi" w:hAnsiTheme="majorBidi" w:cstheme="majorBidi"/>
          <w:sz w:val="24"/>
          <w:szCs w:val="24"/>
          <w:rtl/>
        </w:rPr>
        <w:t xml:space="preserve"> بَيْنَنَا وَبَيْنَكُمْ اَلَّا نَعْبُدَ اِلَّا اللّٰهَ وَلَا نُشْرِكَ بِهٖ شَيْـًٔا وَلَا يَتَّخِذَ بَعْضُنَا بَعْضًا اَرْبَابًا مِنْ دُونِ اللّٰهِۜ فَاِنْ تَوَلَّوْا فَقُولُوا اشْهَدُوا بِاَنَّا مُسْلِمُونَ</w:t>
      </w:r>
    </w:p>
    <w:p w14:paraId="3B19E647" w14:textId="5F5CA168" w:rsidR="002B540D"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2B540D" w:rsidRPr="00D212EE">
        <w:rPr>
          <w:rFonts w:asciiTheme="majorBidi" w:hAnsiTheme="majorBidi" w:cstheme="majorBidi"/>
          <w:sz w:val="24"/>
          <w:szCs w:val="24"/>
        </w:rPr>
        <w:t xml:space="preserve">De ki: “Ey </w:t>
      </w:r>
      <w:proofErr w:type="spellStart"/>
      <w:r w:rsidR="002B540D" w:rsidRPr="00D212EE">
        <w:rPr>
          <w:rFonts w:asciiTheme="majorBidi" w:hAnsiTheme="majorBidi" w:cstheme="majorBidi"/>
          <w:sz w:val="24"/>
          <w:szCs w:val="24"/>
        </w:rPr>
        <w:t>Ehl</w:t>
      </w:r>
      <w:proofErr w:type="spellEnd"/>
      <w:r w:rsidR="002B540D" w:rsidRPr="00D212EE">
        <w:rPr>
          <w:rFonts w:asciiTheme="majorBidi" w:hAnsiTheme="majorBidi" w:cstheme="majorBidi"/>
          <w:sz w:val="24"/>
          <w:szCs w:val="24"/>
        </w:rPr>
        <w:t xml:space="preserve">-i kitap! Sizinle bizim aramızda </w:t>
      </w:r>
      <w:r w:rsidR="002B540D" w:rsidRPr="002C4F84">
        <w:rPr>
          <w:rFonts w:asciiTheme="majorBidi" w:hAnsiTheme="majorBidi" w:cstheme="majorBidi"/>
          <w:b/>
          <w:bCs/>
          <w:sz w:val="24"/>
          <w:szCs w:val="24"/>
        </w:rPr>
        <w:t>müşterek olan bir söz</w:t>
      </w:r>
      <w:r w:rsidR="002B540D" w:rsidRPr="00D212EE">
        <w:rPr>
          <w:rFonts w:asciiTheme="majorBidi" w:hAnsiTheme="majorBidi" w:cstheme="majorBidi"/>
          <w:sz w:val="24"/>
          <w:szCs w:val="24"/>
        </w:rPr>
        <w:t>e gelin: Yalnız Allah’a tapalım, O’na hiçbir şeyi ortak koşmayalım ve Allah’ı bırakıp da içimizden bazıları diğer bazılarını rab edinmesin.” Eğer yine yüz çevirirlerse, “Şahit olun ki biz Müslümanlarız” deyin.</w:t>
      </w:r>
      <w:r>
        <w:rPr>
          <w:rFonts w:asciiTheme="majorBidi" w:hAnsiTheme="majorBidi" w:cstheme="majorBidi"/>
          <w:sz w:val="24"/>
          <w:szCs w:val="24"/>
        </w:rPr>
        <w:t>”</w:t>
      </w:r>
      <w:r w:rsidR="002B540D" w:rsidRPr="00D212EE">
        <w:rPr>
          <w:rStyle w:val="FootnoteReference"/>
          <w:rFonts w:asciiTheme="majorBidi" w:hAnsiTheme="majorBidi" w:cstheme="majorBidi"/>
          <w:sz w:val="24"/>
          <w:szCs w:val="24"/>
        </w:rPr>
        <w:footnoteReference w:id="52"/>
      </w:r>
    </w:p>
    <w:p w14:paraId="3C533836" w14:textId="67D23276" w:rsidR="002B540D" w:rsidRPr="00D212EE" w:rsidRDefault="001B4935" w:rsidP="00FE6A96">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w:t>
      </w:r>
      <w:proofErr w:type="spellStart"/>
      <w:r w:rsidR="00EF1D4E" w:rsidRPr="00D212EE">
        <w:rPr>
          <w:rFonts w:asciiTheme="majorBidi" w:hAnsiTheme="majorBidi" w:cstheme="majorBidi"/>
          <w:sz w:val="24"/>
          <w:szCs w:val="24"/>
        </w:rPr>
        <w:t>K</w:t>
      </w:r>
      <w:r w:rsidR="00EF1D4E">
        <w:rPr>
          <w:rFonts w:asciiTheme="majorBidi" w:hAnsiTheme="majorBidi" w:cstheme="majorBidi"/>
          <w:sz w:val="24"/>
          <w:szCs w:val="24"/>
        </w:rPr>
        <w:t>e</w:t>
      </w:r>
      <w:r w:rsidR="00EF1D4E" w:rsidRPr="00D212EE">
        <w:rPr>
          <w:rFonts w:asciiTheme="majorBidi" w:hAnsiTheme="majorBidi" w:cstheme="majorBidi"/>
          <w:sz w:val="24"/>
          <w:szCs w:val="24"/>
        </w:rPr>
        <w:t>lim</w:t>
      </w:r>
      <w:r w:rsidR="00EF1D4E">
        <w:rPr>
          <w:rFonts w:asciiTheme="majorBidi" w:hAnsiTheme="majorBidi" w:cstheme="majorBidi"/>
          <w:sz w:val="24"/>
          <w:szCs w:val="24"/>
        </w:rPr>
        <w:t>e</w:t>
      </w:r>
      <w:r w:rsidR="00EF1D4E" w:rsidRPr="00D212EE">
        <w:rPr>
          <w:rFonts w:asciiTheme="majorBidi" w:hAnsiTheme="majorBidi" w:cstheme="majorBidi"/>
          <w:sz w:val="24"/>
          <w:szCs w:val="24"/>
        </w:rPr>
        <w:t>t</w:t>
      </w:r>
      <w:r w:rsidR="00EF1D4E">
        <w:rPr>
          <w:rFonts w:asciiTheme="majorBidi" w:hAnsiTheme="majorBidi" w:cstheme="majorBidi"/>
          <w:sz w:val="24"/>
          <w:szCs w:val="24"/>
        </w:rPr>
        <w:t>ü</w:t>
      </w:r>
      <w:r w:rsidR="00EF1D4E" w:rsidRPr="00D212EE">
        <w:rPr>
          <w:rFonts w:asciiTheme="majorBidi" w:hAnsiTheme="majorBidi" w:cstheme="majorBidi"/>
          <w:sz w:val="24"/>
          <w:szCs w:val="24"/>
        </w:rPr>
        <w:t>n</w:t>
      </w:r>
      <w:proofErr w:type="spellEnd"/>
      <w:r w:rsidR="00EF1D4E">
        <w:rPr>
          <w:rFonts w:asciiTheme="majorBidi" w:hAnsiTheme="majorBidi" w:cstheme="majorBidi"/>
          <w:sz w:val="24"/>
          <w:szCs w:val="24"/>
        </w:rPr>
        <w:t xml:space="preserve"> </w:t>
      </w:r>
      <w:r w:rsidR="002B540D" w:rsidRPr="00D212EE">
        <w:rPr>
          <w:rFonts w:asciiTheme="majorBidi" w:hAnsiTheme="majorBidi" w:cstheme="majorBidi"/>
          <w:sz w:val="24"/>
          <w:szCs w:val="24"/>
        </w:rPr>
        <w:t>Sa</w:t>
      </w:r>
      <w:r w:rsidR="00861A50" w:rsidRPr="00D212EE">
        <w:rPr>
          <w:rFonts w:asciiTheme="majorBidi" w:hAnsiTheme="majorBidi" w:cstheme="majorBidi"/>
          <w:sz w:val="24"/>
          <w:szCs w:val="24"/>
        </w:rPr>
        <w:t>v</w:t>
      </w:r>
      <w:r w:rsidR="002B540D" w:rsidRPr="00D212EE">
        <w:rPr>
          <w:rFonts w:asciiTheme="majorBidi" w:hAnsiTheme="majorBidi" w:cstheme="majorBidi"/>
          <w:sz w:val="24"/>
          <w:szCs w:val="24"/>
        </w:rPr>
        <w:t>a</w:t>
      </w:r>
      <w:r w:rsidR="002C4F84">
        <w:rPr>
          <w:rFonts w:asciiTheme="majorBidi" w:hAnsiTheme="majorBidi" w:cstheme="majorBidi"/>
          <w:sz w:val="24"/>
          <w:szCs w:val="24"/>
        </w:rPr>
        <w:t>’</w:t>
      </w:r>
      <w:r>
        <w:rPr>
          <w:rFonts w:asciiTheme="majorBidi" w:hAnsiTheme="majorBidi" w:cstheme="majorBidi"/>
          <w:sz w:val="24"/>
          <w:szCs w:val="24"/>
        </w:rPr>
        <w:t>”</w:t>
      </w:r>
      <w:r w:rsidR="002B540D"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r w:rsidR="002B540D" w:rsidRPr="00D212EE">
        <w:rPr>
          <w:rFonts w:asciiTheme="majorBidi" w:hAnsiTheme="majorBidi" w:cstheme="majorBidi"/>
          <w:sz w:val="24"/>
          <w:szCs w:val="24"/>
        </w:rPr>
        <w:t>’in</w:t>
      </w:r>
      <w:proofErr w:type="spellEnd"/>
      <w:r w:rsidR="002B540D" w:rsidRPr="00D212EE">
        <w:rPr>
          <w:rFonts w:asciiTheme="majorBidi" w:hAnsiTheme="majorBidi" w:cstheme="majorBidi"/>
          <w:sz w:val="24"/>
          <w:szCs w:val="24"/>
        </w:rPr>
        <w:t xml:space="preserve"> çoğulculuk teorisinin Kur’an-ı Kerim’deki en güçlü dayanağıdır ve dinler arası ilişkilerde teolojik bir buluşma noktasını ifade eder.</w:t>
      </w:r>
      <w:r w:rsidR="00861A50" w:rsidRPr="00D212EE">
        <w:rPr>
          <w:rFonts w:asciiTheme="majorBidi" w:hAnsiTheme="majorBidi" w:cstheme="majorBidi"/>
          <w:sz w:val="24"/>
          <w:szCs w:val="24"/>
        </w:rPr>
        <w:t xml:space="preserve"> Önceki </w:t>
      </w:r>
      <w:r w:rsidR="00597A56">
        <w:rPr>
          <w:rFonts w:asciiTheme="majorBidi" w:hAnsiTheme="majorBidi" w:cstheme="majorBidi"/>
          <w:sz w:val="24"/>
          <w:szCs w:val="24"/>
        </w:rPr>
        <w:t xml:space="preserve">başlıklarda </w:t>
      </w:r>
      <w:r w:rsidR="00861A50" w:rsidRPr="00D212EE">
        <w:rPr>
          <w:rFonts w:asciiTheme="majorBidi" w:hAnsiTheme="majorBidi" w:cstheme="majorBidi"/>
          <w:sz w:val="24"/>
          <w:szCs w:val="24"/>
        </w:rPr>
        <w:t xml:space="preserve">bahsedildiği gibi </w:t>
      </w:r>
      <w:proofErr w:type="spellStart"/>
      <w:r w:rsidR="00031206" w:rsidRPr="00D212EE">
        <w:rPr>
          <w:rFonts w:asciiTheme="majorBidi" w:hAnsiTheme="majorBidi" w:cstheme="majorBidi"/>
          <w:sz w:val="24"/>
          <w:szCs w:val="24"/>
        </w:rPr>
        <w:t>Mâcid</w:t>
      </w:r>
      <w:proofErr w:type="spellEnd"/>
      <w:r w:rsidR="00861A50" w:rsidRPr="00D212EE">
        <w:rPr>
          <w:rFonts w:asciiTheme="majorBidi" w:hAnsiTheme="majorBidi" w:cstheme="majorBidi"/>
          <w:sz w:val="24"/>
          <w:szCs w:val="24"/>
        </w:rPr>
        <w:t xml:space="preserve"> İslam </w:t>
      </w:r>
      <w:r w:rsidR="002767A3">
        <w:rPr>
          <w:rFonts w:asciiTheme="majorBidi" w:hAnsiTheme="majorBidi" w:cstheme="majorBidi"/>
          <w:sz w:val="24"/>
          <w:szCs w:val="24"/>
        </w:rPr>
        <w:t>teriminin dar ve geniş anlamı olarak</w:t>
      </w:r>
      <w:r w:rsidR="00861A50" w:rsidRPr="00D212EE">
        <w:rPr>
          <w:rFonts w:asciiTheme="majorBidi" w:hAnsiTheme="majorBidi" w:cstheme="majorBidi"/>
          <w:sz w:val="24"/>
          <w:szCs w:val="24"/>
        </w:rPr>
        <w:t xml:space="preserve"> ayrım yaptığı için b</w:t>
      </w:r>
      <w:r w:rsidR="002B540D" w:rsidRPr="00D212EE">
        <w:rPr>
          <w:rFonts w:asciiTheme="majorBidi" w:hAnsiTheme="majorBidi" w:cstheme="majorBidi"/>
          <w:sz w:val="24"/>
          <w:szCs w:val="24"/>
        </w:rPr>
        <w:t xml:space="preserve">u perspektife göre, tüm peygamberlerin getirdiği mesajın özü aynıdır ve samimiyetle Tanrı'ya yönelen, iyi işler yapan herkes bu ortak platformun bir parçasıdır. </w:t>
      </w:r>
      <w:proofErr w:type="spellStart"/>
      <w:r w:rsidR="002B540D" w:rsidRPr="00D212EE">
        <w:rPr>
          <w:rFonts w:asciiTheme="majorBidi" w:hAnsiTheme="majorBidi" w:cstheme="majorBidi"/>
          <w:sz w:val="24"/>
          <w:szCs w:val="24"/>
        </w:rPr>
        <w:t>K</w:t>
      </w:r>
      <w:r w:rsidR="0039292E">
        <w:rPr>
          <w:rFonts w:asciiTheme="majorBidi" w:hAnsiTheme="majorBidi" w:cstheme="majorBidi"/>
          <w:sz w:val="24"/>
          <w:szCs w:val="24"/>
        </w:rPr>
        <w:t>e</w:t>
      </w:r>
      <w:r w:rsidR="002B540D" w:rsidRPr="00D212EE">
        <w:rPr>
          <w:rFonts w:asciiTheme="majorBidi" w:hAnsiTheme="majorBidi" w:cstheme="majorBidi"/>
          <w:sz w:val="24"/>
          <w:szCs w:val="24"/>
        </w:rPr>
        <w:t>lim</w:t>
      </w:r>
      <w:r w:rsidR="0039292E">
        <w:rPr>
          <w:rFonts w:asciiTheme="majorBidi" w:hAnsiTheme="majorBidi" w:cstheme="majorBidi"/>
          <w:sz w:val="24"/>
          <w:szCs w:val="24"/>
        </w:rPr>
        <w:t>e</w:t>
      </w:r>
      <w:r w:rsidR="002B540D" w:rsidRPr="00D212EE">
        <w:rPr>
          <w:rFonts w:asciiTheme="majorBidi" w:hAnsiTheme="majorBidi" w:cstheme="majorBidi"/>
          <w:sz w:val="24"/>
          <w:szCs w:val="24"/>
        </w:rPr>
        <w:t>t</w:t>
      </w:r>
      <w:r w:rsidR="0039292E">
        <w:rPr>
          <w:rFonts w:asciiTheme="majorBidi" w:hAnsiTheme="majorBidi" w:cstheme="majorBidi"/>
          <w:sz w:val="24"/>
          <w:szCs w:val="24"/>
        </w:rPr>
        <w:t>ü</w:t>
      </w:r>
      <w:r w:rsidR="002B540D" w:rsidRPr="00D212EE">
        <w:rPr>
          <w:rFonts w:asciiTheme="majorBidi" w:hAnsiTheme="majorBidi" w:cstheme="majorBidi"/>
          <w:sz w:val="24"/>
          <w:szCs w:val="24"/>
        </w:rPr>
        <w:t>n</w:t>
      </w:r>
      <w:proofErr w:type="spellEnd"/>
      <w:r w:rsidR="002B540D" w:rsidRPr="00D212EE">
        <w:rPr>
          <w:rFonts w:asciiTheme="majorBidi" w:hAnsiTheme="majorBidi" w:cstheme="majorBidi"/>
          <w:sz w:val="24"/>
          <w:szCs w:val="24"/>
        </w:rPr>
        <w:t xml:space="preserve"> </w:t>
      </w:r>
      <w:r w:rsidR="002C4F84">
        <w:rPr>
          <w:rFonts w:asciiTheme="majorBidi" w:hAnsiTheme="majorBidi" w:cstheme="majorBidi"/>
          <w:sz w:val="24"/>
          <w:szCs w:val="24"/>
        </w:rPr>
        <w:t>s</w:t>
      </w:r>
      <w:r w:rsidR="002B540D" w:rsidRPr="00D212EE">
        <w:rPr>
          <w:rFonts w:asciiTheme="majorBidi" w:hAnsiTheme="majorBidi" w:cstheme="majorBidi"/>
          <w:sz w:val="24"/>
          <w:szCs w:val="24"/>
        </w:rPr>
        <w:t>a</w:t>
      </w:r>
      <w:r w:rsidR="00861A50" w:rsidRPr="00D212EE">
        <w:rPr>
          <w:rFonts w:asciiTheme="majorBidi" w:hAnsiTheme="majorBidi" w:cstheme="majorBidi"/>
          <w:sz w:val="24"/>
          <w:szCs w:val="24"/>
        </w:rPr>
        <w:t>v</w:t>
      </w:r>
      <w:r w:rsidR="002B540D" w:rsidRPr="00D212EE">
        <w:rPr>
          <w:rFonts w:asciiTheme="majorBidi" w:hAnsiTheme="majorBidi" w:cstheme="majorBidi"/>
          <w:sz w:val="24"/>
          <w:szCs w:val="24"/>
        </w:rPr>
        <w:t>a</w:t>
      </w:r>
      <w:r w:rsidR="002C4F84">
        <w:rPr>
          <w:rFonts w:asciiTheme="majorBidi" w:hAnsiTheme="majorBidi" w:cstheme="majorBidi"/>
          <w:sz w:val="24"/>
          <w:szCs w:val="24"/>
        </w:rPr>
        <w:t>’</w:t>
      </w:r>
      <w:r w:rsidR="002B540D" w:rsidRPr="00D212EE">
        <w:rPr>
          <w:rFonts w:asciiTheme="majorBidi" w:hAnsiTheme="majorBidi" w:cstheme="majorBidi"/>
          <w:sz w:val="24"/>
          <w:szCs w:val="24"/>
        </w:rPr>
        <w:t>, toplumsal barışın sağlanması için dini dışlayıcılığın (</w:t>
      </w:r>
      <w:proofErr w:type="spellStart"/>
      <w:r w:rsidR="002B540D" w:rsidRPr="00D212EE">
        <w:rPr>
          <w:rFonts w:asciiTheme="majorBidi" w:hAnsiTheme="majorBidi" w:cstheme="majorBidi"/>
          <w:sz w:val="24"/>
          <w:szCs w:val="24"/>
        </w:rPr>
        <w:t>exclusivism</w:t>
      </w:r>
      <w:proofErr w:type="spellEnd"/>
      <w:r w:rsidR="002B540D" w:rsidRPr="00D212EE">
        <w:rPr>
          <w:rFonts w:asciiTheme="majorBidi" w:hAnsiTheme="majorBidi" w:cstheme="majorBidi"/>
          <w:sz w:val="24"/>
          <w:szCs w:val="24"/>
        </w:rPr>
        <w:t>) terk edilip kapsayıcılığın (</w:t>
      </w:r>
      <w:proofErr w:type="spellStart"/>
      <w:r w:rsidR="002B540D" w:rsidRPr="00D212EE">
        <w:rPr>
          <w:rFonts w:asciiTheme="majorBidi" w:hAnsiTheme="majorBidi" w:cstheme="majorBidi"/>
          <w:sz w:val="24"/>
          <w:szCs w:val="24"/>
        </w:rPr>
        <w:t>inclusivism</w:t>
      </w:r>
      <w:proofErr w:type="spellEnd"/>
      <w:r w:rsidR="002B540D" w:rsidRPr="00D212EE">
        <w:rPr>
          <w:rFonts w:asciiTheme="majorBidi" w:hAnsiTheme="majorBidi" w:cstheme="majorBidi"/>
          <w:sz w:val="24"/>
          <w:szCs w:val="24"/>
        </w:rPr>
        <w:t xml:space="preserve">) benimsenmesini emreden bir ilkedir. </w:t>
      </w:r>
      <w:proofErr w:type="spellStart"/>
      <w:r w:rsidR="00031206" w:rsidRPr="00D212EE">
        <w:rPr>
          <w:rFonts w:asciiTheme="majorBidi" w:hAnsiTheme="majorBidi" w:cstheme="majorBidi"/>
          <w:sz w:val="24"/>
          <w:szCs w:val="24"/>
        </w:rPr>
        <w:t>Mâcid</w:t>
      </w:r>
      <w:r w:rsidR="002B540D" w:rsidRPr="00D212EE">
        <w:rPr>
          <w:rFonts w:asciiTheme="majorBidi" w:hAnsiTheme="majorBidi" w:cstheme="majorBidi"/>
          <w:sz w:val="24"/>
          <w:szCs w:val="24"/>
        </w:rPr>
        <w:t>’e</w:t>
      </w:r>
      <w:proofErr w:type="spellEnd"/>
      <w:r w:rsidR="002B540D" w:rsidRPr="00D212EE">
        <w:rPr>
          <w:rFonts w:asciiTheme="majorBidi" w:hAnsiTheme="majorBidi" w:cstheme="majorBidi"/>
          <w:sz w:val="24"/>
          <w:szCs w:val="24"/>
        </w:rPr>
        <w:t xml:space="preserve"> göre bu kavram, modern sivil toplumun ihtiyaç duyduğu </w:t>
      </w:r>
      <w:r>
        <w:rPr>
          <w:rFonts w:asciiTheme="majorBidi" w:hAnsiTheme="majorBidi" w:cstheme="majorBidi"/>
          <w:sz w:val="24"/>
          <w:szCs w:val="24"/>
        </w:rPr>
        <w:t>‘</w:t>
      </w:r>
      <w:r w:rsidR="002B540D" w:rsidRPr="00D212EE">
        <w:rPr>
          <w:rFonts w:asciiTheme="majorBidi" w:hAnsiTheme="majorBidi" w:cstheme="majorBidi"/>
          <w:sz w:val="24"/>
          <w:szCs w:val="24"/>
        </w:rPr>
        <w:t>iletişimsel rasyonalitenin</w:t>
      </w:r>
      <w:r>
        <w:rPr>
          <w:rFonts w:asciiTheme="majorBidi" w:hAnsiTheme="majorBidi" w:cstheme="majorBidi"/>
          <w:sz w:val="24"/>
          <w:szCs w:val="24"/>
        </w:rPr>
        <w:t>’</w:t>
      </w:r>
      <w:r w:rsidR="002B540D" w:rsidRPr="00D212EE">
        <w:rPr>
          <w:rFonts w:asciiTheme="majorBidi" w:hAnsiTheme="majorBidi" w:cstheme="majorBidi"/>
          <w:sz w:val="24"/>
          <w:szCs w:val="24"/>
        </w:rPr>
        <w:t xml:space="preserve"> dini kökenidir ve farklılıkların birer çatışma unsuru değil, birbirini tanıma vesilesi olan ilahi bir lütuf olduğunu kanıtlar. Bu düşünce sistemi, </w:t>
      </w:r>
      <w:proofErr w:type="spellStart"/>
      <w:r w:rsidR="002B540D" w:rsidRPr="00D212EE">
        <w:rPr>
          <w:rFonts w:asciiTheme="majorBidi" w:hAnsiTheme="majorBidi" w:cstheme="majorBidi"/>
          <w:sz w:val="24"/>
          <w:szCs w:val="24"/>
        </w:rPr>
        <w:t>müslümanların</w:t>
      </w:r>
      <w:proofErr w:type="spellEnd"/>
      <w:r w:rsidR="002B540D" w:rsidRPr="00D212EE">
        <w:rPr>
          <w:rFonts w:asciiTheme="majorBidi" w:hAnsiTheme="majorBidi" w:cstheme="majorBidi"/>
          <w:sz w:val="24"/>
          <w:szCs w:val="24"/>
        </w:rPr>
        <w:t xml:space="preserve"> diğer inanç sahiplerini </w:t>
      </w:r>
      <w:r>
        <w:rPr>
          <w:rFonts w:asciiTheme="majorBidi" w:hAnsiTheme="majorBidi" w:cstheme="majorBidi"/>
          <w:sz w:val="24"/>
          <w:szCs w:val="24"/>
        </w:rPr>
        <w:t>‘</w:t>
      </w:r>
      <w:r w:rsidR="002B540D" w:rsidRPr="00D212EE">
        <w:rPr>
          <w:rFonts w:asciiTheme="majorBidi" w:hAnsiTheme="majorBidi" w:cstheme="majorBidi"/>
          <w:sz w:val="24"/>
          <w:szCs w:val="24"/>
        </w:rPr>
        <w:t>öteki</w:t>
      </w:r>
      <w:r>
        <w:rPr>
          <w:rFonts w:asciiTheme="majorBidi" w:hAnsiTheme="majorBidi" w:cstheme="majorBidi"/>
          <w:sz w:val="24"/>
          <w:szCs w:val="24"/>
        </w:rPr>
        <w:t>’</w:t>
      </w:r>
      <w:r w:rsidR="002B540D" w:rsidRPr="00D212EE">
        <w:rPr>
          <w:rFonts w:asciiTheme="majorBidi" w:hAnsiTheme="majorBidi" w:cstheme="majorBidi"/>
          <w:sz w:val="24"/>
          <w:szCs w:val="24"/>
        </w:rPr>
        <w:t xml:space="preserve"> olarak değil, ortak bir insani ahlak mücadelesindeki paydaşlar olarak görmesini sağlayarak, Endonezya gibi çok kültürlü coğrafyalarda sürdürülebilir bir demokratik</w:t>
      </w:r>
      <w:r w:rsidR="00861A50" w:rsidRPr="00D212EE">
        <w:rPr>
          <w:rFonts w:asciiTheme="majorBidi" w:hAnsiTheme="majorBidi" w:cstheme="majorBidi"/>
          <w:sz w:val="24"/>
          <w:szCs w:val="24"/>
        </w:rPr>
        <w:t xml:space="preserve"> </w:t>
      </w:r>
      <w:r w:rsidR="002B540D" w:rsidRPr="00D212EE">
        <w:rPr>
          <w:rFonts w:asciiTheme="majorBidi" w:hAnsiTheme="majorBidi" w:cstheme="majorBidi"/>
          <w:sz w:val="24"/>
          <w:szCs w:val="24"/>
        </w:rPr>
        <w:t>düzenin manevi altyapısını oluşturur</w:t>
      </w:r>
      <w:r w:rsidR="00861A50" w:rsidRPr="00D212EE">
        <w:rPr>
          <w:rStyle w:val="FootnoteReference"/>
          <w:rFonts w:asciiTheme="majorBidi" w:hAnsiTheme="majorBidi" w:cstheme="majorBidi"/>
          <w:sz w:val="24"/>
          <w:szCs w:val="24"/>
        </w:rPr>
        <w:footnoteReference w:id="53"/>
      </w:r>
      <w:r w:rsidR="002B540D" w:rsidRPr="00D212EE">
        <w:rPr>
          <w:rFonts w:asciiTheme="majorBidi" w:hAnsiTheme="majorBidi" w:cstheme="majorBidi"/>
          <w:sz w:val="24"/>
          <w:szCs w:val="24"/>
        </w:rPr>
        <w:t>.</w:t>
      </w:r>
    </w:p>
    <w:p w14:paraId="3F02D7C1" w14:textId="7942FA8F" w:rsidR="005E4D90"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5E4D90" w:rsidRPr="00D212EE">
        <w:rPr>
          <w:rFonts w:asciiTheme="majorBidi" w:hAnsiTheme="majorBidi" w:cstheme="majorBidi"/>
          <w:sz w:val="24"/>
          <w:szCs w:val="24"/>
        </w:rPr>
        <w:t>’e</w:t>
      </w:r>
      <w:proofErr w:type="spellEnd"/>
      <w:r w:rsidR="005E4D90" w:rsidRPr="00D212EE">
        <w:rPr>
          <w:rFonts w:asciiTheme="majorBidi" w:hAnsiTheme="majorBidi" w:cstheme="majorBidi"/>
          <w:sz w:val="24"/>
          <w:szCs w:val="24"/>
        </w:rPr>
        <w:t xml:space="preserve"> göre </w:t>
      </w:r>
      <w:proofErr w:type="spellStart"/>
      <w:r w:rsidR="005E4D90" w:rsidRPr="00D212EE">
        <w:rPr>
          <w:rFonts w:asciiTheme="majorBidi" w:hAnsiTheme="majorBidi" w:cstheme="majorBidi"/>
          <w:sz w:val="24"/>
          <w:szCs w:val="24"/>
        </w:rPr>
        <w:t>Pancasila</w:t>
      </w:r>
      <w:proofErr w:type="spellEnd"/>
      <w:r w:rsidR="005E4D90" w:rsidRPr="00D212EE">
        <w:rPr>
          <w:rFonts w:asciiTheme="majorBidi" w:hAnsiTheme="majorBidi" w:cstheme="majorBidi"/>
          <w:sz w:val="24"/>
          <w:szCs w:val="24"/>
        </w:rPr>
        <w:t xml:space="preserve"> ve özellikle </w:t>
      </w:r>
      <w:proofErr w:type="spellStart"/>
      <w:r w:rsidR="005E4D90" w:rsidRPr="00D212EE">
        <w:rPr>
          <w:rFonts w:asciiTheme="majorBidi" w:hAnsiTheme="majorBidi" w:cstheme="majorBidi"/>
          <w:sz w:val="24"/>
          <w:szCs w:val="24"/>
        </w:rPr>
        <w:t>Âl</w:t>
      </w:r>
      <w:proofErr w:type="spellEnd"/>
      <w:r w:rsidR="005E4D90" w:rsidRPr="00D212EE">
        <w:rPr>
          <w:rFonts w:asciiTheme="majorBidi" w:hAnsiTheme="majorBidi" w:cstheme="majorBidi"/>
          <w:sz w:val="24"/>
          <w:szCs w:val="24"/>
        </w:rPr>
        <w:t xml:space="preserve">-i İmrân Suresi 64. ayette geçen </w:t>
      </w:r>
      <w:proofErr w:type="spellStart"/>
      <w:r w:rsidR="005E4D90" w:rsidRPr="00D212EE">
        <w:rPr>
          <w:rFonts w:asciiTheme="majorBidi" w:hAnsiTheme="majorBidi" w:cstheme="majorBidi"/>
          <w:sz w:val="24"/>
          <w:szCs w:val="24"/>
        </w:rPr>
        <w:t>k</w:t>
      </w:r>
      <w:r w:rsidR="0039292E">
        <w:rPr>
          <w:rFonts w:asciiTheme="majorBidi" w:hAnsiTheme="majorBidi" w:cstheme="majorBidi"/>
          <w:sz w:val="24"/>
          <w:szCs w:val="24"/>
        </w:rPr>
        <w:t>e</w:t>
      </w:r>
      <w:r w:rsidR="005E4D90" w:rsidRPr="00D212EE">
        <w:rPr>
          <w:rFonts w:asciiTheme="majorBidi" w:hAnsiTheme="majorBidi" w:cstheme="majorBidi"/>
          <w:sz w:val="24"/>
          <w:szCs w:val="24"/>
        </w:rPr>
        <w:t>lim</w:t>
      </w:r>
      <w:r w:rsidR="0039292E">
        <w:rPr>
          <w:rFonts w:asciiTheme="majorBidi" w:hAnsiTheme="majorBidi" w:cstheme="majorBidi"/>
          <w:sz w:val="24"/>
          <w:szCs w:val="24"/>
        </w:rPr>
        <w:t>e</w:t>
      </w:r>
      <w:r w:rsidR="005E4D90" w:rsidRPr="00D212EE">
        <w:rPr>
          <w:rFonts w:asciiTheme="majorBidi" w:hAnsiTheme="majorBidi" w:cstheme="majorBidi"/>
          <w:sz w:val="24"/>
          <w:szCs w:val="24"/>
        </w:rPr>
        <w:t>t</w:t>
      </w:r>
      <w:r w:rsidR="0039292E">
        <w:rPr>
          <w:rFonts w:asciiTheme="majorBidi" w:hAnsiTheme="majorBidi" w:cstheme="majorBidi"/>
          <w:sz w:val="24"/>
          <w:szCs w:val="24"/>
        </w:rPr>
        <w:t>ü</w:t>
      </w:r>
      <w:r w:rsidR="005E4D90" w:rsidRPr="00D212EE">
        <w:rPr>
          <w:rFonts w:asciiTheme="majorBidi" w:hAnsiTheme="majorBidi" w:cstheme="majorBidi"/>
          <w:sz w:val="24"/>
          <w:szCs w:val="24"/>
        </w:rPr>
        <w:t>n</w:t>
      </w:r>
      <w:proofErr w:type="spellEnd"/>
      <w:r w:rsidR="005E4D90" w:rsidRPr="00D212EE">
        <w:rPr>
          <w:rFonts w:asciiTheme="majorBidi" w:hAnsiTheme="majorBidi" w:cstheme="majorBidi"/>
          <w:sz w:val="24"/>
          <w:szCs w:val="24"/>
        </w:rPr>
        <w:t xml:space="preserve"> sa</w:t>
      </w:r>
      <w:r w:rsidR="002C4F84">
        <w:rPr>
          <w:rFonts w:asciiTheme="majorBidi" w:hAnsiTheme="majorBidi" w:cstheme="majorBidi"/>
          <w:sz w:val="24"/>
          <w:szCs w:val="24"/>
        </w:rPr>
        <w:t>v</w:t>
      </w:r>
      <w:r w:rsidR="008F66D2" w:rsidRPr="00D212EE">
        <w:rPr>
          <w:rFonts w:asciiTheme="majorBidi" w:hAnsiTheme="majorBidi" w:cstheme="majorBidi"/>
          <w:sz w:val="24"/>
          <w:szCs w:val="24"/>
        </w:rPr>
        <w:t>a</w:t>
      </w:r>
      <w:r w:rsidR="005E4D90" w:rsidRPr="00D212EE">
        <w:rPr>
          <w:rFonts w:asciiTheme="majorBidi" w:hAnsiTheme="majorBidi" w:cstheme="majorBidi"/>
          <w:sz w:val="24"/>
          <w:szCs w:val="24"/>
        </w:rPr>
        <w:t xml:space="preserve">’ ilkesi, Medine modelinin modern Endonezya bağlamındaki karşılığıdır. </w:t>
      </w:r>
      <w:proofErr w:type="spellStart"/>
      <w:r w:rsidR="005E4D90" w:rsidRPr="00D212EE">
        <w:rPr>
          <w:rFonts w:asciiTheme="majorBidi" w:hAnsiTheme="majorBidi" w:cstheme="majorBidi"/>
          <w:sz w:val="24"/>
          <w:szCs w:val="24"/>
        </w:rPr>
        <w:t>Pancasila</w:t>
      </w:r>
      <w:proofErr w:type="spellEnd"/>
      <w:r w:rsidR="005E4D90" w:rsidRPr="00D212EE">
        <w:rPr>
          <w:rFonts w:asciiTheme="majorBidi" w:hAnsiTheme="majorBidi" w:cstheme="majorBidi"/>
          <w:sz w:val="24"/>
          <w:szCs w:val="24"/>
        </w:rPr>
        <w:t xml:space="preserve">, İslam’ı Endonezya kimliği ve evrensel insanlık değerleriyle uzlaştıran bir “buluşma noktası” işlevi görmektedir. </w:t>
      </w:r>
    </w:p>
    <w:p w14:paraId="5B4A2443" w14:textId="441ACF24" w:rsidR="00174D0D" w:rsidRPr="00D212EE" w:rsidRDefault="00031206" w:rsidP="00FE6A96">
      <w:pPr>
        <w:pStyle w:val="Heading2"/>
        <w:spacing w:line="360" w:lineRule="auto"/>
        <w:jc w:val="both"/>
      </w:pPr>
      <w:bookmarkStart w:id="39" w:name="_Toc218886234"/>
      <w:bookmarkStart w:id="40" w:name="_Toc218901294"/>
      <w:bookmarkStart w:id="41" w:name="_Toc219409255"/>
      <w:proofErr w:type="spellStart"/>
      <w:r w:rsidRPr="00D212EE">
        <w:lastRenderedPageBreak/>
        <w:t>Mâcid</w:t>
      </w:r>
      <w:r w:rsidR="00174D0D" w:rsidRPr="00D212EE">
        <w:t>’in</w:t>
      </w:r>
      <w:proofErr w:type="spellEnd"/>
      <w:r w:rsidR="00174D0D" w:rsidRPr="00D212EE">
        <w:t xml:space="preserve"> fıkıh anlayışı</w:t>
      </w:r>
      <w:bookmarkEnd w:id="39"/>
      <w:bookmarkEnd w:id="40"/>
      <w:bookmarkEnd w:id="41"/>
      <w:r w:rsidR="00174D0D" w:rsidRPr="00D212EE">
        <w:t xml:space="preserve"> </w:t>
      </w:r>
    </w:p>
    <w:p w14:paraId="0D4759AD" w14:textId="05E6BB1A" w:rsidR="000115FF" w:rsidRPr="00D212EE" w:rsidRDefault="00031206" w:rsidP="002C4F84">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düşüncesinin merkezinde, fıkhın değişmez ilahî yasalar bütünü değil, insanî </w:t>
      </w:r>
      <w:proofErr w:type="spellStart"/>
      <w:r w:rsidR="000115FF" w:rsidRPr="00D212EE">
        <w:rPr>
          <w:rFonts w:asciiTheme="majorBidi" w:hAnsiTheme="majorBidi" w:cstheme="majorBidi"/>
          <w:sz w:val="24"/>
          <w:szCs w:val="24"/>
        </w:rPr>
        <w:t>ictihadın</w:t>
      </w:r>
      <w:proofErr w:type="spellEnd"/>
      <w:r w:rsidR="000115FF" w:rsidRPr="00D212EE">
        <w:rPr>
          <w:rFonts w:asciiTheme="majorBidi" w:hAnsiTheme="majorBidi" w:cstheme="majorBidi"/>
          <w:sz w:val="24"/>
          <w:szCs w:val="24"/>
        </w:rPr>
        <w:t xml:space="preserve"> ürünü olan tarihsel-toplumsal bir oluşum olduğu fikri yer alır. Chicago Üniversitesi’nde </w:t>
      </w:r>
      <w:proofErr w:type="spellStart"/>
      <w:r w:rsidR="000115FF" w:rsidRPr="00D212EE">
        <w:rPr>
          <w:rFonts w:asciiTheme="majorBidi" w:hAnsiTheme="majorBidi" w:cstheme="majorBidi"/>
          <w:sz w:val="24"/>
          <w:szCs w:val="24"/>
        </w:rPr>
        <w:t>Fazlur</w:t>
      </w:r>
      <w:proofErr w:type="spellEnd"/>
      <w:r w:rsidR="000115FF" w:rsidRPr="00D212EE">
        <w:rPr>
          <w:rFonts w:asciiTheme="majorBidi" w:hAnsiTheme="majorBidi" w:cstheme="majorBidi"/>
          <w:sz w:val="24"/>
          <w:szCs w:val="24"/>
        </w:rPr>
        <w:t xml:space="preserve"> Rahman’ın metodolojik rehberliği altında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xml:space="preserve">, Kur’an mesajının “ruhunu” onun </w:t>
      </w:r>
      <w:proofErr w:type="spellStart"/>
      <w:r w:rsidR="000115FF" w:rsidRPr="00D212EE">
        <w:rPr>
          <w:rFonts w:asciiTheme="majorBidi" w:hAnsiTheme="majorBidi" w:cstheme="majorBidi"/>
          <w:sz w:val="24"/>
          <w:szCs w:val="24"/>
        </w:rPr>
        <w:t>lafzî</w:t>
      </w:r>
      <w:proofErr w:type="spellEnd"/>
      <w:r w:rsidR="000115FF" w:rsidRPr="00D212EE">
        <w:rPr>
          <w:rFonts w:asciiTheme="majorBidi" w:hAnsiTheme="majorBidi" w:cstheme="majorBidi"/>
          <w:sz w:val="24"/>
          <w:szCs w:val="24"/>
        </w:rPr>
        <w:t xml:space="preserve"> ve zamana bağlı hukukî tezahürlerinden ayırmayı amaçlayan </w:t>
      </w:r>
      <w:proofErr w:type="spellStart"/>
      <w:r w:rsidR="000115FF" w:rsidRPr="00D212EE">
        <w:rPr>
          <w:rFonts w:asciiTheme="majorBidi" w:hAnsiTheme="majorBidi" w:cstheme="majorBidi"/>
          <w:sz w:val="24"/>
          <w:szCs w:val="24"/>
        </w:rPr>
        <w:t>bağlamsalcı</w:t>
      </w:r>
      <w:proofErr w:type="spellEnd"/>
      <w:r w:rsidR="000115FF" w:rsidRPr="00D212EE">
        <w:rPr>
          <w:rFonts w:asciiTheme="majorBidi" w:hAnsiTheme="majorBidi" w:cstheme="majorBidi"/>
          <w:sz w:val="24"/>
          <w:szCs w:val="24"/>
        </w:rPr>
        <w:t xml:space="preserve"> bir hermenötik benimsemiştir</w:t>
      </w:r>
      <w:r w:rsidR="000115FF" w:rsidRPr="00D212EE">
        <w:rPr>
          <w:rStyle w:val="FootnoteReference"/>
          <w:rFonts w:asciiTheme="majorBidi" w:hAnsiTheme="majorBidi" w:cstheme="majorBidi"/>
          <w:sz w:val="24"/>
          <w:szCs w:val="24"/>
        </w:rPr>
        <w:footnoteReference w:id="54"/>
      </w:r>
      <w:r w:rsidR="000115FF" w:rsidRPr="00D212EE">
        <w:rPr>
          <w:rFonts w:asciiTheme="majorBidi" w:hAnsiTheme="majorBidi" w:cstheme="majorBidi"/>
          <w:sz w:val="24"/>
          <w:szCs w:val="24"/>
        </w:rPr>
        <w:t xml:space="preserve">. </w:t>
      </w:r>
    </w:p>
    <w:p w14:paraId="35253C9E" w14:textId="463601FC"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fıkıh anlayışı, onun tartışmalı “sekülerleşme” kavramıyla ayrılmaz biçimde bağlantılıdır.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xml:space="preserve"> sekülerleşmeyi ideolojik değil, sosyolojik anlamda, yani zamana ait olan değerlerin kutsallıktan arındırılması olarak tanımlar</w:t>
      </w:r>
      <w:r w:rsidR="003927E4" w:rsidRPr="00D212EE">
        <w:rPr>
          <w:rStyle w:val="FootnoteReference"/>
          <w:rFonts w:asciiTheme="majorBidi" w:hAnsiTheme="majorBidi" w:cstheme="majorBidi"/>
          <w:sz w:val="24"/>
          <w:szCs w:val="24"/>
        </w:rPr>
        <w:footnoteReference w:id="55"/>
      </w:r>
      <w:r w:rsidR="000115FF"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Talcott</w:t>
      </w:r>
      <w:proofErr w:type="spellEnd"/>
      <w:r w:rsidR="000115FF" w:rsidRPr="00D212EE">
        <w:rPr>
          <w:rFonts w:asciiTheme="majorBidi" w:hAnsiTheme="majorBidi" w:cstheme="majorBidi"/>
          <w:sz w:val="24"/>
          <w:szCs w:val="24"/>
        </w:rPr>
        <w:t xml:space="preserve"> Parsons, Robert N. </w:t>
      </w:r>
      <w:proofErr w:type="spellStart"/>
      <w:r w:rsidR="000115FF" w:rsidRPr="00D212EE">
        <w:rPr>
          <w:rFonts w:asciiTheme="majorBidi" w:hAnsiTheme="majorBidi" w:cstheme="majorBidi"/>
          <w:sz w:val="24"/>
          <w:szCs w:val="24"/>
        </w:rPr>
        <w:t>Bellah</w:t>
      </w:r>
      <w:proofErr w:type="spellEnd"/>
      <w:r w:rsidR="000115FF" w:rsidRPr="00D212EE">
        <w:rPr>
          <w:rFonts w:asciiTheme="majorBidi" w:hAnsiTheme="majorBidi" w:cstheme="majorBidi"/>
          <w:sz w:val="24"/>
          <w:szCs w:val="24"/>
        </w:rPr>
        <w:t xml:space="preserve"> ve Harvey </w:t>
      </w:r>
      <w:proofErr w:type="spellStart"/>
      <w:r w:rsidR="000115FF" w:rsidRPr="00D212EE">
        <w:rPr>
          <w:rFonts w:asciiTheme="majorBidi" w:hAnsiTheme="majorBidi" w:cstheme="majorBidi"/>
          <w:sz w:val="24"/>
          <w:szCs w:val="24"/>
        </w:rPr>
        <w:t>Cox’un</w:t>
      </w:r>
      <w:proofErr w:type="spellEnd"/>
      <w:r w:rsidR="000115FF" w:rsidRPr="00D212EE">
        <w:rPr>
          <w:rFonts w:asciiTheme="majorBidi" w:hAnsiTheme="majorBidi" w:cstheme="majorBidi"/>
          <w:sz w:val="24"/>
          <w:szCs w:val="24"/>
        </w:rPr>
        <w:t xml:space="preserve"> çalışmalarından yararlanan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Müslümanların aşkın olan yani kutsal ile tarihsel olanı yani dünyevi</w:t>
      </w:r>
      <w:r w:rsidR="002767A3">
        <w:rPr>
          <w:rFonts w:asciiTheme="majorBidi" w:hAnsiTheme="majorBidi" w:cstheme="majorBidi"/>
          <w:sz w:val="24"/>
          <w:szCs w:val="24"/>
        </w:rPr>
        <w:t>yi</w:t>
      </w:r>
      <w:r w:rsidR="000115FF" w:rsidRPr="00D212EE">
        <w:rPr>
          <w:rFonts w:asciiTheme="majorBidi" w:hAnsiTheme="majorBidi" w:cstheme="majorBidi"/>
          <w:sz w:val="24"/>
          <w:szCs w:val="24"/>
        </w:rPr>
        <w:t xml:space="preserve"> ayırt edebilmesi gerektiğini savunur</w:t>
      </w:r>
      <w:r w:rsidR="000115FF" w:rsidRPr="00D212EE">
        <w:rPr>
          <w:rStyle w:val="FootnoteReference"/>
          <w:rFonts w:asciiTheme="majorBidi" w:hAnsiTheme="majorBidi" w:cstheme="majorBidi"/>
          <w:sz w:val="24"/>
          <w:szCs w:val="24"/>
        </w:rPr>
        <w:footnoteReference w:id="56"/>
      </w:r>
      <w:r w:rsidR="000115FF" w:rsidRPr="00D212EE">
        <w:rPr>
          <w:rFonts w:asciiTheme="majorBidi" w:hAnsiTheme="majorBidi" w:cstheme="majorBidi"/>
          <w:sz w:val="24"/>
          <w:szCs w:val="24"/>
        </w:rPr>
        <w:t>. Ona göre Tanrı’nın mutlak birliği, hiçbir insanî kurumun, yorumun ya da siyasal yapının ilahî bir statüye yükseltilmemesini zorunlu kılar. Bu nedenle fıkıh, hicrî ikinci ve üçüncü yüzyıllarda geniş bir imparatorluğun idarî ihtiyaçlarına cevap vermek üzere geliştirilmiş insanî bir formülasyon olarak, zorunlu biçimde tarihsel ve değişime açık bir yapıya sahiptir</w:t>
      </w:r>
      <w:r w:rsidR="003927E4" w:rsidRPr="00D212EE">
        <w:rPr>
          <w:rStyle w:val="FootnoteReference"/>
          <w:rFonts w:asciiTheme="majorBidi" w:hAnsiTheme="majorBidi" w:cstheme="majorBidi"/>
          <w:sz w:val="24"/>
          <w:szCs w:val="24"/>
        </w:rPr>
        <w:footnoteReference w:id="57"/>
      </w:r>
      <w:r w:rsidR="000115FF" w:rsidRPr="00D212EE">
        <w:rPr>
          <w:rFonts w:asciiTheme="majorBidi" w:hAnsiTheme="majorBidi" w:cstheme="majorBidi"/>
          <w:sz w:val="24"/>
          <w:szCs w:val="24"/>
        </w:rPr>
        <w:t>. Bu kutsallıktan arındırma süreci, entelektüel bir özgürleşme aracı olarak işlev görür; Müslümanların dünyevî sorunlarını donmuş geleneklere dayanmak yerine akıl, bilim ve nesnel gözlem yoluyla çözmelerine imkân tanır.</w:t>
      </w:r>
    </w:p>
    <w:p w14:paraId="70934CCA" w14:textId="77777777" w:rsidR="000115FF" w:rsidRPr="00D212EE" w:rsidRDefault="000115FF" w:rsidP="00FE6A96">
      <w:pPr>
        <w:pStyle w:val="Heading3"/>
        <w:spacing w:line="360" w:lineRule="auto"/>
        <w:jc w:val="both"/>
      </w:pPr>
      <w:bookmarkStart w:id="42" w:name="_Toc218886235"/>
      <w:bookmarkStart w:id="43" w:name="_Toc218901295"/>
      <w:bookmarkStart w:id="44" w:name="_Toc219409256"/>
      <w:r w:rsidRPr="00D212EE">
        <w:t>Pratik Hayatta Uygulamalar ve Örnekler</w:t>
      </w:r>
      <w:bookmarkEnd w:id="42"/>
      <w:bookmarkEnd w:id="43"/>
      <w:bookmarkEnd w:id="44"/>
    </w:p>
    <w:p w14:paraId="5DF5E7F4" w14:textId="5D9CF432"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özsel fıkıh yaklaşımı, miras, dinden dönme, evlilik ve toplumsal cinsiyet rolleri gibi alanlarda “İnsanlık </w:t>
      </w:r>
      <w:proofErr w:type="spellStart"/>
      <w:r w:rsidR="000115FF" w:rsidRPr="00D212EE">
        <w:rPr>
          <w:rFonts w:asciiTheme="majorBidi" w:hAnsiTheme="majorBidi" w:cstheme="majorBidi"/>
          <w:sz w:val="24"/>
          <w:szCs w:val="24"/>
        </w:rPr>
        <w:t>Dini”ni</w:t>
      </w:r>
      <w:proofErr w:type="spellEnd"/>
      <w:r w:rsidR="000115FF"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Religion</w:t>
      </w:r>
      <w:proofErr w:type="spellEnd"/>
      <w:r w:rsidR="000115FF" w:rsidRPr="00D212EE">
        <w:rPr>
          <w:rFonts w:asciiTheme="majorBidi" w:hAnsiTheme="majorBidi" w:cstheme="majorBidi"/>
          <w:sz w:val="24"/>
          <w:szCs w:val="24"/>
        </w:rPr>
        <w:t xml:space="preserve"> of </w:t>
      </w:r>
      <w:proofErr w:type="spellStart"/>
      <w:r w:rsidR="000115FF" w:rsidRPr="00D212EE">
        <w:rPr>
          <w:rFonts w:asciiTheme="majorBidi" w:hAnsiTheme="majorBidi" w:cstheme="majorBidi"/>
          <w:sz w:val="24"/>
          <w:szCs w:val="24"/>
        </w:rPr>
        <w:t>Humanity</w:t>
      </w:r>
      <w:proofErr w:type="spellEnd"/>
      <w:r w:rsidR="000115FF" w:rsidRPr="00D212EE">
        <w:rPr>
          <w:rFonts w:asciiTheme="majorBidi" w:hAnsiTheme="majorBidi" w:cstheme="majorBidi"/>
          <w:sz w:val="24"/>
          <w:szCs w:val="24"/>
        </w:rPr>
        <w:t>) inşa etmeyi amaçlayan bir dizi radikal yoruma yol açmıştır</w:t>
      </w:r>
      <w:r w:rsidR="003927E4" w:rsidRPr="00D212EE">
        <w:rPr>
          <w:rStyle w:val="FootnoteReference"/>
          <w:rFonts w:asciiTheme="majorBidi" w:hAnsiTheme="majorBidi" w:cstheme="majorBidi"/>
          <w:sz w:val="24"/>
          <w:szCs w:val="24"/>
        </w:rPr>
        <w:footnoteReference w:id="58"/>
      </w:r>
      <w:r w:rsidR="000115FF" w:rsidRPr="00D212EE">
        <w:rPr>
          <w:rFonts w:asciiTheme="majorBidi" w:hAnsiTheme="majorBidi" w:cstheme="majorBidi"/>
          <w:sz w:val="24"/>
          <w:szCs w:val="24"/>
        </w:rPr>
        <w:t>.</w:t>
      </w:r>
    </w:p>
    <w:p w14:paraId="030221CB" w14:textId="4FF4DB43" w:rsidR="003927E4" w:rsidRPr="00D212EE" w:rsidRDefault="000115FF" w:rsidP="00FE6A96">
      <w:pPr>
        <w:pStyle w:val="Heading4"/>
        <w:numPr>
          <w:ilvl w:val="0"/>
          <w:numId w:val="3"/>
        </w:numPr>
        <w:spacing w:line="360" w:lineRule="auto"/>
        <w:jc w:val="both"/>
      </w:pPr>
      <w:bookmarkStart w:id="45" w:name="_Toc218886236"/>
      <w:r w:rsidRPr="00D212EE">
        <w:t>Miras Hükümlerinin Yeniden Değerlendirilmesi</w:t>
      </w:r>
      <w:bookmarkEnd w:id="45"/>
    </w:p>
    <w:p w14:paraId="1AC1771F" w14:textId="41FC0BCD" w:rsidR="003927E4" w:rsidRPr="00D212EE" w:rsidRDefault="00C842EB"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يُوصٖيكُمُ اللّٰهُ فٖٓى اَوْلَادِكُمْ لِلذَّكَرِ مِثْلُ حَظِّ الْاُنْثَيَيْنِۚ</w:t>
      </w:r>
      <w:r w:rsidRPr="00D212EE">
        <w:rPr>
          <w:rFonts w:asciiTheme="majorBidi" w:hAnsiTheme="majorBidi" w:cstheme="majorBidi"/>
          <w:sz w:val="24"/>
          <w:szCs w:val="24"/>
        </w:rPr>
        <w:t>…</w:t>
      </w:r>
    </w:p>
    <w:p w14:paraId="51E35CBD" w14:textId="1A7C6825" w:rsidR="00C842EB"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w:t>
      </w:r>
      <w:r w:rsidR="00C842EB" w:rsidRPr="00D212EE">
        <w:rPr>
          <w:rFonts w:asciiTheme="majorBidi" w:hAnsiTheme="majorBidi" w:cstheme="majorBidi"/>
          <w:sz w:val="24"/>
          <w:szCs w:val="24"/>
        </w:rPr>
        <w:t>Allah size, çocuklarınız hakkında, erkeğe iki kadın payı kadar (vermenizi) emreder…</w:t>
      </w:r>
      <w:r>
        <w:rPr>
          <w:rFonts w:asciiTheme="majorBidi" w:hAnsiTheme="majorBidi" w:cstheme="majorBidi"/>
          <w:sz w:val="24"/>
          <w:szCs w:val="24"/>
        </w:rPr>
        <w:t>”</w:t>
      </w:r>
      <w:r w:rsidR="00C842EB" w:rsidRPr="00D212EE">
        <w:rPr>
          <w:rStyle w:val="FootnoteReference"/>
          <w:rFonts w:asciiTheme="majorBidi" w:hAnsiTheme="majorBidi" w:cstheme="majorBidi"/>
          <w:sz w:val="24"/>
          <w:szCs w:val="24"/>
        </w:rPr>
        <w:footnoteReference w:id="59"/>
      </w:r>
    </w:p>
    <w:p w14:paraId="3DD05E2C" w14:textId="65E40FBA"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bağlamsa</w:t>
      </w:r>
      <w:r w:rsidR="00C842EB" w:rsidRPr="00D212EE">
        <w:rPr>
          <w:rFonts w:asciiTheme="majorBidi" w:hAnsiTheme="majorBidi" w:cstheme="majorBidi"/>
          <w:sz w:val="24"/>
          <w:szCs w:val="24"/>
        </w:rPr>
        <w:t>l</w:t>
      </w:r>
      <w:r w:rsidR="000115FF" w:rsidRPr="00D212EE">
        <w:rPr>
          <w:rFonts w:asciiTheme="majorBidi" w:hAnsiTheme="majorBidi" w:cstheme="majorBidi"/>
          <w:sz w:val="24"/>
          <w:szCs w:val="24"/>
        </w:rPr>
        <w:t xml:space="preserve"> </w:t>
      </w:r>
      <w:r w:rsidR="00C842EB" w:rsidRPr="00D212EE">
        <w:rPr>
          <w:rFonts w:asciiTheme="majorBidi" w:hAnsiTheme="majorBidi" w:cstheme="majorBidi"/>
          <w:sz w:val="24"/>
          <w:szCs w:val="24"/>
        </w:rPr>
        <w:t>içtihadının</w:t>
      </w:r>
      <w:r w:rsidR="000115FF" w:rsidRPr="00D212EE">
        <w:rPr>
          <w:rFonts w:asciiTheme="majorBidi" w:hAnsiTheme="majorBidi" w:cstheme="majorBidi"/>
          <w:sz w:val="24"/>
          <w:szCs w:val="24"/>
        </w:rPr>
        <w:t xml:space="preserve"> temel örneklerinden biri, Kur’an’daki erkeğin kadının iki katı miras almasını öngören hükme ilişkin yorumudur. Geleneksel yaklaşımlar bunu kalıcı bir ilahî buyruk olarak görürken,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Munawir</w:t>
      </w:r>
      <w:proofErr w:type="spellEnd"/>
      <w:r w:rsidR="000115FF"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Sjadzali’nin</w:t>
      </w:r>
      <w:proofErr w:type="spellEnd"/>
      <w:r w:rsidR="000115FF" w:rsidRPr="00D212EE">
        <w:rPr>
          <w:rFonts w:asciiTheme="majorBidi" w:hAnsiTheme="majorBidi" w:cstheme="majorBidi"/>
          <w:sz w:val="24"/>
          <w:szCs w:val="24"/>
        </w:rPr>
        <w:t xml:space="preserve"> etkisiyle hükmün illetini analiz eder. Ona göre 2:1 oranı, erkeğin temel geçim sağlayıcı olduğu </w:t>
      </w:r>
      <w:proofErr w:type="spellStart"/>
      <w:r w:rsidR="000115FF" w:rsidRPr="00D212EE">
        <w:rPr>
          <w:rFonts w:asciiTheme="majorBidi" w:hAnsiTheme="majorBidi" w:cstheme="majorBidi"/>
          <w:sz w:val="24"/>
          <w:szCs w:val="24"/>
        </w:rPr>
        <w:t>sosyo</w:t>
      </w:r>
      <w:proofErr w:type="spellEnd"/>
      <w:r w:rsidR="000115FF" w:rsidRPr="00D212EE">
        <w:rPr>
          <w:rFonts w:asciiTheme="majorBidi" w:hAnsiTheme="majorBidi" w:cstheme="majorBidi"/>
          <w:sz w:val="24"/>
          <w:szCs w:val="24"/>
        </w:rPr>
        <w:t xml:space="preserve">-ekonomik yapıya dayanmaktadır. Ancak modern bağlamda, kadınların </w:t>
      </w:r>
      <w:r w:rsidR="002C4F84">
        <w:rPr>
          <w:rFonts w:asciiTheme="majorBidi" w:hAnsiTheme="majorBidi" w:cstheme="majorBidi"/>
          <w:sz w:val="24"/>
          <w:szCs w:val="24"/>
        </w:rPr>
        <w:t>ev</w:t>
      </w:r>
      <w:r w:rsidR="000115FF" w:rsidRPr="00D212EE">
        <w:rPr>
          <w:rFonts w:asciiTheme="majorBidi" w:hAnsiTheme="majorBidi" w:cstheme="majorBidi"/>
          <w:sz w:val="24"/>
          <w:szCs w:val="24"/>
        </w:rPr>
        <w:t xml:space="preserve"> ekonomisine aktif katkı sunduğu ya da tek geçim kaynağı olduğu durumlarda, bu hükmün dayandığı toplumsal gerekçe değişmiştir. Dolayısıyla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adalet ilkesinin ruhuna sadık kalmak adına hukukî uygulamanın yeniden değerlendirilmesi gerektiğini savunur</w:t>
      </w:r>
      <w:r w:rsidR="00C842EB" w:rsidRPr="00D212EE">
        <w:rPr>
          <w:rStyle w:val="FootnoteReference"/>
          <w:rFonts w:asciiTheme="majorBidi" w:hAnsiTheme="majorBidi" w:cstheme="majorBidi"/>
          <w:sz w:val="24"/>
          <w:szCs w:val="24"/>
        </w:rPr>
        <w:footnoteReference w:id="60"/>
      </w:r>
      <w:r w:rsidR="000115FF" w:rsidRPr="00D212EE">
        <w:rPr>
          <w:rFonts w:asciiTheme="majorBidi" w:hAnsiTheme="majorBidi" w:cstheme="majorBidi"/>
          <w:sz w:val="24"/>
          <w:szCs w:val="24"/>
        </w:rPr>
        <w:t>.</w:t>
      </w:r>
    </w:p>
    <w:p w14:paraId="7DB6CC95" w14:textId="77777777" w:rsidR="00174D0D" w:rsidRPr="00D212EE" w:rsidRDefault="000115FF" w:rsidP="00FE6A96">
      <w:pPr>
        <w:pStyle w:val="ListParagraph"/>
        <w:numPr>
          <w:ilvl w:val="0"/>
          <w:numId w:val="3"/>
        </w:numPr>
        <w:spacing w:line="360" w:lineRule="auto"/>
        <w:jc w:val="both"/>
        <w:rPr>
          <w:rStyle w:val="Heading4Char"/>
        </w:rPr>
      </w:pPr>
      <w:bookmarkStart w:id="46" w:name="_Toc218886237"/>
      <w:r w:rsidRPr="00D212EE">
        <w:rPr>
          <w:rStyle w:val="Heading4Char"/>
        </w:rPr>
        <w:t>Dinden Dönme ve Ölüm Cezası</w:t>
      </w:r>
      <w:bookmarkEnd w:id="46"/>
    </w:p>
    <w:p w14:paraId="11F2B007" w14:textId="73DE59B7" w:rsidR="00C842EB" w:rsidRPr="00D212EE" w:rsidRDefault="00031206" w:rsidP="00FE6A96">
      <w:pPr>
        <w:spacing w:line="360" w:lineRule="auto"/>
        <w:ind w:firstLine="720"/>
        <w:jc w:val="both"/>
        <w:rPr>
          <w:rFonts w:asciiTheme="majorBidi" w:eastAsiaTheme="majorEastAsia" w:hAnsiTheme="majorBidi" w:cstheme="majorBidi"/>
          <w:iCs/>
          <w:color w:val="000000" w:themeColor="text1"/>
          <w:sz w:val="24"/>
        </w:rPr>
      </w:pP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xml:space="preserve">, irtidadın ölümle cezalandırılmasına ilişkin klasik fıkıh hükmüne karşı çıkar ve bu cezanın Kur’an’da açık bir dayanağının bulunmadığını belirtir. </w:t>
      </w:r>
    </w:p>
    <w:p w14:paraId="0D44DEC7" w14:textId="6879E16C" w:rsidR="00C842EB" w:rsidRPr="00D212EE" w:rsidRDefault="00C842EB"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لَٓا اِكْرَاهَ فِي الدّٖينِ</w:t>
      </w:r>
      <w:r w:rsidRPr="00D212EE">
        <w:rPr>
          <w:rFonts w:asciiTheme="majorBidi" w:hAnsiTheme="majorBidi" w:cstheme="majorBidi"/>
          <w:sz w:val="24"/>
          <w:szCs w:val="24"/>
        </w:rPr>
        <w:t>…</w:t>
      </w:r>
    </w:p>
    <w:p w14:paraId="2CC927F5" w14:textId="36F49C62" w:rsidR="00C842EB"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C842EB" w:rsidRPr="00D212EE">
        <w:rPr>
          <w:rFonts w:asciiTheme="majorBidi" w:hAnsiTheme="majorBidi" w:cstheme="majorBidi"/>
          <w:sz w:val="24"/>
          <w:szCs w:val="24"/>
        </w:rPr>
        <w:t>Dinde zorlama yoktur…</w:t>
      </w:r>
      <w:r>
        <w:rPr>
          <w:rFonts w:asciiTheme="majorBidi" w:hAnsiTheme="majorBidi" w:cstheme="majorBidi"/>
          <w:sz w:val="24"/>
          <w:szCs w:val="24"/>
        </w:rPr>
        <w:t>”</w:t>
      </w:r>
      <w:r w:rsidR="00C842EB" w:rsidRPr="00D212EE">
        <w:rPr>
          <w:rStyle w:val="FootnoteReference"/>
          <w:rFonts w:asciiTheme="majorBidi" w:hAnsiTheme="majorBidi" w:cstheme="majorBidi"/>
          <w:sz w:val="24"/>
          <w:szCs w:val="24"/>
        </w:rPr>
        <w:footnoteReference w:id="61"/>
      </w:r>
    </w:p>
    <w:p w14:paraId="1A9712AC" w14:textId="0F2B6AD7" w:rsidR="00C842EB" w:rsidRPr="00D212EE" w:rsidRDefault="00C842EB" w:rsidP="00FE6A96">
      <w:pPr>
        <w:bidi/>
        <w:spacing w:line="360" w:lineRule="auto"/>
        <w:jc w:val="both"/>
        <w:rPr>
          <w:rFonts w:asciiTheme="majorBidi" w:hAnsiTheme="majorBidi" w:cstheme="majorBidi"/>
          <w:sz w:val="24"/>
          <w:szCs w:val="24"/>
        </w:rPr>
      </w:pPr>
      <w:r w:rsidRPr="00D212EE">
        <w:rPr>
          <w:rFonts w:asciiTheme="majorBidi" w:hAnsiTheme="majorBidi" w:cstheme="majorBidi"/>
          <w:sz w:val="24"/>
          <w:szCs w:val="24"/>
          <w:rtl/>
        </w:rPr>
        <w:t>وَقُلِ الْحَقُّ مِنْ رَبِّكُمْ فَمَنْ شَٓاءَ فَلْيُؤْمِنْ وَمَنْ شَٓاءَ فَلْيَكْفُرْۙ</w:t>
      </w:r>
      <w:r w:rsidRPr="00D212EE">
        <w:rPr>
          <w:rFonts w:asciiTheme="majorBidi" w:hAnsiTheme="majorBidi" w:cstheme="majorBidi"/>
          <w:sz w:val="24"/>
          <w:szCs w:val="24"/>
        </w:rPr>
        <w:t>…</w:t>
      </w:r>
    </w:p>
    <w:p w14:paraId="7B28B90E" w14:textId="16EBB99F" w:rsidR="00C842EB" w:rsidRPr="00D212EE" w:rsidRDefault="001B4935" w:rsidP="00FE6A96">
      <w:pPr>
        <w:spacing w:line="360" w:lineRule="auto"/>
        <w:jc w:val="both"/>
        <w:rPr>
          <w:rFonts w:asciiTheme="majorBidi" w:hAnsiTheme="majorBidi" w:cstheme="majorBidi"/>
          <w:sz w:val="24"/>
          <w:szCs w:val="24"/>
        </w:rPr>
      </w:pPr>
      <w:r>
        <w:rPr>
          <w:rFonts w:asciiTheme="majorBidi" w:hAnsiTheme="majorBidi" w:cstheme="majorBidi"/>
          <w:sz w:val="24"/>
          <w:szCs w:val="24"/>
        </w:rPr>
        <w:t>“</w:t>
      </w:r>
      <w:r w:rsidR="00C842EB" w:rsidRPr="00D212EE">
        <w:rPr>
          <w:rFonts w:asciiTheme="majorBidi" w:hAnsiTheme="majorBidi" w:cstheme="majorBidi"/>
          <w:sz w:val="24"/>
          <w:szCs w:val="24"/>
        </w:rPr>
        <w:t>Ve de ki: Gerçek, rabbinizden gelendir. Artık dileyen iman etsin dileyen inkâr etsin…</w:t>
      </w:r>
      <w:r>
        <w:rPr>
          <w:rFonts w:asciiTheme="majorBidi" w:hAnsiTheme="majorBidi" w:cstheme="majorBidi"/>
          <w:sz w:val="24"/>
          <w:szCs w:val="24"/>
        </w:rPr>
        <w:t>”</w:t>
      </w:r>
      <w:r w:rsidR="00C842EB" w:rsidRPr="00D212EE">
        <w:rPr>
          <w:rStyle w:val="FootnoteReference"/>
          <w:rFonts w:asciiTheme="majorBidi" w:hAnsiTheme="majorBidi" w:cstheme="majorBidi"/>
          <w:sz w:val="24"/>
          <w:szCs w:val="24"/>
        </w:rPr>
        <w:footnoteReference w:id="62"/>
      </w:r>
    </w:p>
    <w:p w14:paraId="5A627FF6" w14:textId="77777777" w:rsidR="00174D0D" w:rsidRPr="00D212EE" w:rsidRDefault="000115FF" w:rsidP="00FE6A96">
      <w:pPr>
        <w:spacing w:line="360" w:lineRule="auto"/>
        <w:jc w:val="both"/>
        <w:rPr>
          <w:rFonts w:asciiTheme="majorBidi" w:hAnsiTheme="majorBidi" w:cstheme="majorBidi"/>
          <w:sz w:val="24"/>
          <w:szCs w:val="24"/>
        </w:rPr>
      </w:pPr>
      <w:r w:rsidRPr="00D212EE">
        <w:rPr>
          <w:rFonts w:asciiTheme="majorBidi" w:hAnsiTheme="majorBidi" w:cstheme="majorBidi"/>
          <w:sz w:val="24"/>
          <w:szCs w:val="24"/>
        </w:rPr>
        <w:t xml:space="preserve">Bakara ve </w:t>
      </w:r>
      <w:proofErr w:type="spellStart"/>
      <w:r w:rsidRPr="00D212EE">
        <w:rPr>
          <w:rFonts w:asciiTheme="majorBidi" w:hAnsiTheme="majorBidi" w:cstheme="majorBidi"/>
          <w:sz w:val="24"/>
          <w:szCs w:val="24"/>
        </w:rPr>
        <w:t>Kehf</w:t>
      </w:r>
      <w:proofErr w:type="spellEnd"/>
      <w:r w:rsidRPr="00D212EE">
        <w:rPr>
          <w:rFonts w:asciiTheme="majorBidi" w:hAnsiTheme="majorBidi" w:cstheme="majorBidi"/>
          <w:sz w:val="24"/>
          <w:szCs w:val="24"/>
        </w:rPr>
        <w:t xml:space="preserve"> ayetlerine atıfla, inancın bireysel irade ve vicdan meselesi olduğunu savunur. Tarihsel bağlamda bu cezanın, savaş hâlinde olan erken dönem İslam toplumunda irtidadın askerî firar ya da ihanete eşdeğer görülmesinden kaynaklandığını ileri sürer. Modern sivil toplum koşullarında bu tarihsel gerekçenin ortadan kalktığını ve dolayısıyla hükmün uygulanabilirliğini yitirdiğini savunur</w:t>
      </w:r>
      <w:r w:rsidR="001067C5" w:rsidRPr="00D212EE">
        <w:rPr>
          <w:rStyle w:val="FootnoteReference"/>
          <w:rFonts w:asciiTheme="majorBidi" w:hAnsiTheme="majorBidi" w:cstheme="majorBidi"/>
          <w:sz w:val="24"/>
          <w:szCs w:val="24"/>
        </w:rPr>
        <w:footnoteReference w:id="63"/>
      </w:r>
      <w:r w:rsidRPr="00D212EE">
        <w:rPr>
          <w:rFonts w:asciiTheme="majorBidi" w:hAnsiTheme="majorBidi" w:cstheme="majorBidi"/>
          <w:sz w:val="24"/>
          <w:szCs w:val="24"/>
        </w:rPr>
        <w:t>.</w:t>
      </w:r>
    </w:p>
    <w:p w14:paraId="725149FE" w14:textId="33909733" w:rsidR="00174D0D" w:rsidRPr="00D212EE" w:rsidRDefault="000115FF" w:rsidP="00FE6A96">
      <w:pPr>
        <w:pStyle w:val="ListParagraph"/>
        <w:numPr>
          <w:ilvl w:val="0"/>
          <w:numId w:val="3"/>
        </w:numPr>
        <w:spacing w:line="360" w:lineRule="auto"/>
        <w:jc w:val="both"/>
        <w:rPr>
          <w:rStyle w:val="Heading4Char"/>
        </w:rPr>
      </w:pPr>
      <w:bookmarkStart w:id="47" w:name="_Toc218886238"/>
      <w:proofErr w:type="spellStart"/>
      <w:r w:rsidRPr="00D212EE">
        <w:rPr>
          <w:rStyle w:val="Heading4Char"/>
        </w:rPr>
        <w:t>Dinlerarası</w:t>
      </w:r>
      <w:proofErr w:type="spellEnd"/>
      <w:r w:rsidRPr="00D212EE">
        <w:rPr>
          <w:rStyle w:val="Heading4Char"/>
        </w:rPr>
        <w:t xml:space="preserve"> Evlilik ve </w:t>
      </w:r>
      <w:proofErr w:type="spellStart"/>
      <w:r w:rsidRPr="00D212EE">
        <w:rPr>
          <w:rStyle w:val="Heading4Char"/>
        </w:rPr>
        <w:t>Ehl</w:t>
      </w:r>
      <w:proofErr w:type="spellEnd"/>
      <w:r w:rsidRPr="00D212EE">
        <w:rPr>
          <w:rStyle w:val="Heading4Char"/>
        </w:rPr>
        <w:t>-i Kitap Kavramı</w:t>
      </w:r>
      <w:bookmarkEnd w:id="47"/>
      <w:r w:rsidR="00174D0D" w:rsidRPr="00D212EE">
        <w:rPr>
          <w:rStyle w:val="Heading4Char"/>
        </w:rPr>
        <w:t xml:space="preserve"> </w:t>
      </w:r>
    </w:p>
    <w:p w14:paraId="533074C4" w14:textId="6A42974F"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lastRenderedPageBreak/>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en tartışmalı görüşlerinden biri, </w:t>
      </w:r>
      <w:proofErr w:type="spellStart"/>
      <w:r w:rsidR="000115FF" w:rsidRPr="00D212EE">
        <w:rPr>
          <w:rFonts w:asciiTheme="majorBidi" w:hAnsiTheme="majorBidi" w:cstheme="majorBidi"/>
          <w:sz w:val="24"/>
          <w:szCs w:val="24"/>
        </w:rPr>
        <w:t>dinlerarası</w:t>
      </w:r>
      <w:proofErr w:type="spellEnd"/>
      <w:r w:rsidR="000115FF" w:rsidRPr="00D212EE">
        <w:rPr>
          <w:rFonts w:asciiTheme="majorBidi" w:hAnsiTheme="majorBidi" w:cstheme="majorBidi"/>
          <w:sz w:val="24"/>
          <w:szCs w:val="24"/>
        </w:rPr>
        <w:t xml:space="preserve"> evliliğe dair yaklaşımıdır. Geleneksel fıkıh, Müslüman erkeklerin yalnızca Yahudi ve Hristiyan kadınlarla evlenmesine izin verirken, </w:t>
      </w:r>
      <w:proofErr w:type="spellStart"/>
      <w:r w:rsidRPr="00D212EE">
        <w:rPr>
          <w:rFonts w:asciiTheme="majorBidi" w:hAnsiTheme="majorBidi" w:cstheme="majorBidi"/>
          <w:sz w:val="24"/>
          <w:szCs w:val="24"/>
        </w:rPr>
        <w:t>Mâcid</w:t>
      </w:r>
      <w:proofErr w:type="spellEnd"/>
      <w:r w:rsidR="000115FF" w:rsidRPr="00D212EE">
        <w:rPr>
          <w:rFonts w:asciiTheme="majorBidi" w:hAnsiTheme="majorBidi" w:cstheme="majorBidi"/>
          <w:sz w:val="24"/>
          <w:szCs w:val="24"/>
        </w:rPr>
        <w:t xml:space="preserve"> “evrimsel bir özgürleşme” önerir. Evliliğin temel amacının sevgi ve merhamet olduğunu ve Kur’an’ın diğer inanç geleneklerinin meşruiyetini tanıdığını vurgular. Ayrıca </w:t>
      </w:r>
      <w:proofErr w:type="spellStart"/>
      <w:r w:rsidR="000115FF" w:rsidRPr="00D212EE">
        <w:rPr>
          <w:rFonts w:asciiTheme="majorBidi" w:hAnsiTheme="majorBidi" w:cstheme="majorBidi"/>
          <w:sz w:val="24"/>
          <w:szCs w:val="24"/>
        </w:rPr>
        <w:t>Ehl</w:t>
      </w:r>
      <w:proofErr w:type="spellEnd"/>
      <w:r w:rsidR="000115FF" w:rsidRPr="00D212EE">
        <w:rPr>
          <w:rFonts w:asciiTheme="majorBidi" w:hAnsiTheme="majorBidi" w:cstheme="majorBidi"/>
          <w:sz w:val="24"/>
          <w:szCs w:val="24"/>
        </w:rPr>
        <w:t xml:space="preserve">-i Kitap kavramını Zerdüştlük, Vedalar, Budizm ve </w:t>
      </w:r>
      <w:proofErr w:type="spellStart"/>
      <w:r w:rsidR="000115FF" w:rsidRPr="00D212EE">
        <w:rPr>
          <w:rFonts w:asciiTheme="majorBidi" w:hAnsiTheme="majorBidi" w:cstheme="majorBidi"/>
          <w:sz w:val="24"/>
          <w:szCs w:val="24"/>
        </w:rPr>
        <w:t>Konfüçyanizm’i</w:t>
      </w:r>
      <w:proofErr w:type="spellEnd"/>
      <w:r w:rsidR="000115FF" w:rsidRPr="00D212EE">
        <w:rPr>
          <w:rFonts w:asciiTheme="majorBidi" w:hAnsiTheme="majorBidi" w:cstheme="majorBidi"/>
          <w:sz w:val="24"/>
          <w:szCs w:val="24"/>
        </w:rPr>
        <w:t xml:space="preserve"> kapsayacak biçimde genişleterek, evrensel peygamberlik anlayışına dayalı bir kurtuluş teolojisi geliştirir.</w:t>
      </w:r>
      <w:r w:rsidR="001067C5" w:rsidRPr="00D212EE">
        <w:rPr>
          <w:rStyle w:val="FootnoteReference"/>
          <w:rFonts w:asciiTheme="majorBidi" w:hAnsiTheme="majorBidi" w:cstheme="majorBidi"/>
          <w:sz w:val="24"/>
          <w:szCs w:val="24"/>
        </w:rPr>
        <w:footnoteReference w:id="64"/>
      </w:r>
    </w:p>
    <w:p w14:paraId="5E0043DB" w14:textId="77777777" w:rsidR="00174D0D" w:rsidRPr="00D212EE" w:rsidRDefault="000115FF" w:rsidP="00FE6A96">
      <w:pPr>
        <w:pStyle w:val="ListParagraph"/>
        <w:numPr>
          <w:ilvl w:val="0"/>
          <w:numId w:val="3"/>
        </w:numPr>
        <w:spacing w:line="360" w:lineRule="auto"/>
        <w:jc w:val="both"/>
        <w:rPr>
          <w:rStyle w:val="Heading4Char"/>
          <w:rFonts w:eastAsiaTheme="minorHAnsi"/>
          <w:iCs w:val="0"/>
          <w:color w:val="auto"/>
          <w:szCs w:val="24"/>
        </w:rPr>
      </w:pPr>
      <w:bookmarkStart w:id="48" w:name="_Toc218886239"/>
      <w:r w:rsidRPr="00D212EE">
        <w:rPr>
          <w:rStyle w:val="Heading4Char"/>
        </w:rPr>
        <w:t>Başörtüsü ve Kültürel Bağlam</w:t>
      </w:r>
      <w:bookmarkEnd w:id="48"/>
      <w:r w:rsidR="00174D0D" w:rsidRPr="00D212EE">
        <w:rPr>
          <w:rStyle w:val="Heading4Char"/>
        </w:rPr>
        <w:t xml:space="preserve"> </w:t>
      </w:r>
    </w:p>
    <w:p w14:paraId="04FC569A" w14:textId="6197B54A" w:rsidR="000115FF" w:rsidRPr="00D212EE" w:rsidRDefault="000115FF"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Toplumsal cinsiyet alanında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başörtüsünü ezelî bir dinî yükümlülük değil, bağlamsal bir kültürel pratik olarak yorumlar. Medine bağlamına atıfla, Peygamber’in eşlerine yönelik örtünme emrinin, statü, onur ve korunma amacı taşıdığını savunur. Asıl hedefin kadınlara saygı olduğunu belirterek, kıyafetin tarihsel bir araç olduğunu ve kadınların çağdaş toplumsal şartlara göre özgürce karar verebilmesi gerektiğini ileri sürer</w:t>
      </w:r>
      <w:r w:rsidR="00653813" w:rsidRPr="00D212EE">
        <w:rPr>
          <w:rStyle w:val="FootnoteReference"/>
          <w:rFonts w:asciiTheme="majorBidi" w:hAnsiTheme="majorBidi" w:cstheme="majorBidi"/>
          <w:sz w:val="24"/>
          <w:szCs w:val="24"/>
        </w:rPr>
        <w:footnoteReference w:id="65"/>
      </w:r>
      <w:r w:rsidRPr="00D212EE">
        <w:rPr>
          <w:rFonts w:asciiTheme="majorBidi" w:hAnsiTheme="majorBidi" w:cstheme="majorBidi"/>
          <w:sz w:val="24"/>
          <w:szCs w:val="24"/>
        </w:rPr>
        <w:t>.</w:t>
      </w:r>
    </w:p>
    <w:p w14:paraId="273826EA" w14:textId="77777777" w:rsidR="000115FF" w:rsidRPr="00D212EE" w:rsidRDefault="000115FF" w:rsidP="00FE6A96">
      <w:pPr>
        <w:pStyle w:val="Heading2"/>
        <w:spacing w:line="360" w:lineRule="auto"/>
        <w:jc w:val="both"/>
      </w:pPr>
      <w:bookmarkStart w:id="49" w:name="_Toc218886240"/>
      <w:bookmarkStart w:id="50" w:name="_Toc218901296"/>
      <w:bookmarkStart w:id="51" w:name="_Toc219409257"/>
      <w:r w:rsidRPr="00D212EE">
        <w:t>Eleştiriler ve Tartışmalar</w:t>
      </w:r>
      <w:bookmarkEnd w:id="49"/>
      <w:bookmarkEnd w:id="50"/>
      <w:bookmarkEnd w:id="51"/>
    </w:p>
    <w:p w14:paraId="75CF8109" w14:textId="09DC1874"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w:t>
      </w:r>
      <w:r w:rsidR="00FE6A96" w:rsidRPr="00D212EE">
        <w:rPr>
          <w:rFonts w:asciiTheme="majorBidi" w:hAnsiTheme="majorBidi" w:cstheme="majorBidi"/>
          <w:sz w:val="24"/>
          <w:szCs w:val="24"/>
        </w:rPr>
        <w:t>düşünceleri</w:t>
      </w:r>
      <w:r w:rsidR="000115FF" w:rsidRPr="00D212EE">
        <w:rPr>
          <w:rFonts w:asciiTheme="majorBidi" w:hAnsiTheme="majorBidi" w:cstheme="majorBidi"/>
          <w:sz w:val="24"/>
          <w:szCs w:val="24"/>
        </w:rPr>
        <w:t xml:space="preserve"> hem gelenekçi hem de radikal çevrelerden sert tepkiler almıştır.</w:t>
      </w:r>
      <w:r w:rsidR="00653813"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Daud</w:t>
      </w:r>
      <w:proofErr w:type="spellEnd"/>
      <w:r w:rsidR="000115FF" w:rsidRPr="00D212EE">
        <w:rPr>
          <w:rFonts w:asciiTheme="majorBidi" w:hAnsiTheme="majorBidi" w:cstheme="majorBidi"/>
          <w:sz w:val="24"/>
          <w:szCs w:val="24"/>
        </w:rPr>
        <w:t xml:space="preserve"> </w:t>
      </w:r>
      <w:proofErr w:type="spellStart"/>
      <w:r w:rsidR="000115FF" w:rsidRPr="00D212EE">
        <w:rPr>
          <w:rFonts w:asciiTheme="majorBidi" w:hAnsiTheme="majorBidi" w:cstheme="majorBidi"/>
          <w:sz w:val="24"/>
          <w:szCs w:val="24"/>
        </w:rPr>
        <w:t>Rasyid</w:t>
      </w:r>
      <w:proofErr w:type="spellEnd"/>
      <w:r w:rsidR="000115FF" w:rsidRPr="00D212EE">
        <w:rPr>
          <w:rFonts w:asciiTheme="majorBidi" w:hAnsiTheme="majorBidi" w:cstheme="majorBidi"/>
          <w:sz w:val="24"/>
          <w:szCs w:val="24"/>
        </w:rPr>
        <w:t xml:space="preserve"> ve HM </w:t>
      </w:r>
      <w:proofErr w:type="spellStart"/>
      <w:r w:rsidR="000115FF" w:rsidRPr="00D212EE">
        <w:rPr>
          <w:rFonts w:asciiTheme="majorBidi" w:hAnsiTheme="majorBidi" w:cstheme="majorBidi"/>
          <w:sz w:val="24"/>
          <w:szCs w:val="24"/>
        </w:rPr>
        <w:t>Rasjidi</w:t>
      </w:r>
      <w:proofErr w:type="spellEnd"/>
      <w:r w:rsidR="000115FF" w:rsidRPr="00D212EE">
        <w:rPr>
          <w:rFonts w:asciiTheme="majorBidi" w:hAnsiTheme="majorBidi" w:cstheme="majorBidi"/>
          <w:sz w:val="24"/>
          <w:szCs w:val="24"/>
        </w:rPr>
        <w:t xml:space="preserve"> gibi eleştirmenler, </w:t>
      </w: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w:t>
      </w:r>
      <w:proofErr w:type="spellEnd"/>
      <w:r w:rsidR="000115FF" w:rsidRPr="00D212EE">
        <w:rPr>
          <w:rFonts w:asciiTheme="majorBidi" w:hAnsiTheme="majorBidi" w:cstheme="majorBidi"/>
          <w:sz w:val="24"/>
          <w:szCs w:val="24"/>
        </w:rPr>
        <w:t xml:space="preserve"> Yeni Düzen rejiminin ideolojik destekçisi ve Batılı oryantalistlerin ajanı olmakla suçlamıştır</w:t>
      </w:r>
      <w:r w:rsidR="00653813" w:rsidRPr="00D212EE">
        <w:rPr>
          <w:rStyle w:val="FootnoteReference"/>
          <w:rFonts w:asciiTheme="majorBidi" w:hAnsiTheme="majorBidi" w:cstheme="majorBidi"/>
          <w:sz w:val="24"/>
          <w:szCs w:val="24"/>
        </w:rPr>
        <w:footnoteReference w:id="66"/>
      </w:r>
      <w:r w:rsidR="000115FF" w:rsidRPr="00D212EE">
        <w:rPr>
          <w:rFonts w:asciiTheme="majorBidi" w:hAnsiTheme="majorBidi" w:cstheme="majorBidi"/>
          <w:sz w:val="24"/>
          <w:szCs w:val="24"/>
        </w:rPr>
        <w:t>. 1995’te Jakarta’daki bir seminerde açıkça “Siyonist ve oryantalist ajan” ilan edilmiştir.</w:t>
      </w:r>
      <w:r w:rsidR="00653813" w:rsidRPr="00D212EE">
        <w:rPr>
          <w:rStyle w:val="FootnoteReference"/>
          <w:rFonts w:asciiTheme="majorBidi" w:hAnsiTheme="majorBidi" w:cstheme="majorBidi"/>
          <w:sz w:val="24"/>
          <w:szCs w:val="24"/>
        </w:rPr>
        <w:footnoteReference w:id="67"/>
      </w:r>
      <w:r w:rsidR="007F4B2D" w:rsidRPr="00D212EE">
        <w:rPr>
          <w:rFonts w:asciiTheme="majorBidi" w:hAnsiTheme="majorBidi" w:cstheme="majorBidi"/>
          <w:sz w:val="24"/>
          <w:szCs w:val="24"/>
        </w:rPr>
        <w:t xml:space="preserve"> </w:t>
      </w:r>
    </w:p>
    <w:p w14:paraId="7DE05DE0" w14:textId="20F6ED6D" w:rsidR="000115FF" w:rsidRDefault="007F4B2D"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2002 yılında, kızının Amerikalı ve Yahudi olduğu ileri sürülen bir kişiyle nişanlandığı yönündeki iddialar nedeniyle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kamuoyunda ciddi bir tartışmanın odağı hâline gelmiştir.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başlangıçta müstakbel damadının Yahudi olduğunu bilmediğini ifade ederek bu iddiaları reddetmiş; ancak daha sonra, söz konusu kişinin İslam’a geçmemesi hâlinde</w:t>
      </w:r>
      <w:r w:rsidR="00EF1D4E">
        <w:rPr>
          <w:rFonts w:asciiTheme="majorBidi" w:hAnsiTheme="majorBidi" w:cstheme="majorBidi"/>
          <w:sz w:val="24"/>
          <w:szCs w:val="24"/>
        </w:rPr>
        <w:t xml:space="preserve"> </w:t>
      </w:r>
      <w:r w:rsidRPr="00D212EE">
        <w:rPr>
          <w:rFonts w:asciiTheme="majorBidi" w:hAnsiTheme="majorBidi" w:cstheme="majorBidi"/>
          <w:sz w:val="24"/>
          <w:szCs w:val="24"/>
        </w:rPr>
        <w:t xml:space="preserve">evliliğe rıza göstermeyeceğini açıkça dile getirmiştir. Bu süreçte, kendisini savunmak amacıyla kızıyla arasındaki bazı özel yazışmaları kamuoyuyla paylaşması da dikkat çekmiştir. Bazı gözlemciler ve yorumcular,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bu tutumunun, daha önce teorik düzeyde savunduğu </w:t>
      </w:r>
      <w:proofErr w:type="spellStart"/>
      <w:r w:rsidRPr="00D212EE">
        <w:rPr>
          <w:rFonts w:asciiTheme="majorBidi" w:hAnsiTheme="majorBidi" w:cstheme="majorBidi"/>
          <w:sz w:val="24"/>
          <w:szCs w:val="24"/>
        </w:rPr>
        <w:t>dinlerarası</w:t>
      </w:r>
      <w:proofErr w:type="spellEnd"/>
      <w:r w:rsidRPr="00D212EE">
        <w:rPr>
          <w:rFonts w:asciiTheme="majorBidi" w:hAnsiTheme="majorBidi" w:cstheme="majorBidi"/>
          <w:sz w:val="24"/>
          <w:szCs w:val="24"/>
        </w:rPr>
        <w:t xml:space="preserve"> evliliklere </w:t>
      </w:r>
      <w:r w:rsidRPr="00D212EE">
        <w:rPr>
          <w:rFonts w:asciiTheme="majorBidi" w:hAnsiTheme="majorBidi" w:cstheme="majorBidi"/>
          <w:sz w:val="24"/>
          <w:szCs w:val="24"/>
        </w:rPr>
        <w:lastRenderedPageBreak/>
        <w:t>ilişkin kapsayıcı ve özgürlükçü görüşlerle çeliştiğini belirtmiş ve bu durumu düşünsel tutarlılık açısından eleştirel bir biçimde değerlendirmiştir.</w:t>
      </w:r>
      <w:r w:rsidRPr="00D212EE">
        <w:rPr>
          <w:rStyle w:val="FootnoteReference"/>
          <w:rFonts w:asciiTheme="majorBidi" w:hAnsiTheme="majorBidi" w:cstheme="majorBidi"/>
          <w:sz w:val="24"/>
          <w:szCs w:val="24"/>
        </w:rPr>
        <w:footnoteReference w:id="68"/>
      </w:r>
    </w:p>
    <w:p w14:paraId="435D0D24" w14:textId="58A9E2E3" w:rsidR="0039292E" w:rsidRPr="0039292E" w:rsidRDefault="0039292E" w:rsidP="0039292E">
      <w:pPr>
        <w:spacing w:line="360" w:lineRule="auto"/>
        <w:ind w:firstLine="720"/>
        <w:jc w:val="both"/>
        <w:rPr>
          <w:rFonts w:asciiTheme="majorBidi" w:hAnsiTheme="majorBidi" w:cstheme="majorBidi"/>
          <w:color w:val="000000" w:themeColor="text1"/>
          <w:sz w:val="24"/>
          <w:szCs w:val="24"/>
        </w:rPr>
      </w:pPr>
      <w:r w:rsidRPr="0039292E">
        <w:rPr>
          <w:rFonts w:asciiTheme="majorBidi" w:hAnsiTheme="majorBidi" w:cstheme="majorBidi"/>
          <w:color w:val="000000" w:themeColor="text1"/>
          <w:sz w:val="24"/>
          <w:szCs w:val="24"/>
        </w:rPr>
        <w:t>Onun düşünce sistemi, herkesi aynı düzeyde kapsama çabası nedeniyle Kur’an’ı oldukça dar bir anlam çerçevesinde yorumlamıştır.</w:t>
      </w:r>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w:t>
      </w:r>
      <w:r w:rsidR="00EF1D4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limetün</w:t>
      </w:r>
      <w:proofErr w:type="spellEnd"/>
      <w:r>
        <w:rPr>
          <w:rFonts w:asciiTheme="majorBidi" w:hAnsiTheme="majorBidi" w:cstheme="majorBidi"/>
          <w:color w:val="000000" w:themeColor="text1"/>
          <w:sz w:val="24"/>
          <w:szCs w:val="24"/>
        </w:rPr>
        <w:t xml:space="preserve"> sava</w:t>
      </w:r>
      <w:r w:rsidR="00EF1D4E">
        <w:rPr>
          <w:rFonts w:asciiTheme="majorBidi" w:hAnsiTheme="majorBidi" w:cstheme="majorBidi"/>
          <w:color w:val="000000" w:themeColor="text1"/>
          <w:sz w:val="24"/>
          <w:szCs w:val="24"/>
        </w:rPr>
        <w:t>’</w:t>
      </w:r>
      <w:r w:rsidRPr="0039292E">
        <w:rPr>
          <w:rFonts w:asciiTheme="majorBidi" w:hAnsiTheme="majorBidi" w:cstheme="majorBidi"/>
          <w:color w:val="000000" w:themeColor="text1"/>
          <w:sz w:val="24"/>
          <w:szCs w:val="24"/>
        </w:rPr>
        <w:t xml:space="preserve"> meselesini ele aldığında, her ne kadar bunu ortak bir sözleşme olarak değerlendirse de bu yorum ayetin bütününü kapsamamaktadır; çünkü ayetin devamında “yalnızca tek bir Allah’a kulluk edelim” ifadesi açıkça yer almaktadır.</w:t>
      </w:r>
    </w:p>
    <w:p w14:paraId="63CDEF86" w14:textId="77777777" w:rsidR="0039292E" w:rsidRPr="00922301" w:rsidRDefault="0039292E" w:rsidP="0039292E">
      <w:pPr>
        <w:spacing w:line="360" w:lineRule="auto"/>
        <w:ind w:firstLine="720"/>
        <w:jc w:val="both"/>
        <w:rPr>
          <w:rFonts w:asciiTheme="majorBidi" w:hAnsiTheme="majorBidi" w:cstheme="majorBidi"/>
          <w:color w:val="000000" w:themeColor="text1"/>
          <w:sz w:val="24"/>
          <w:szCs w:val="24"/>
        </w:rPr>
      </w:pPr>
      <w:r w:rsidRPr="00922301">
        <w:rPr>
          <w:rFonts w:asciiTheme="majorBidi" w:hAnsiTheme="majorBidi" w:cstheme="majorBidi"/>
          <w:color w:val="000000" w:themeColor="text1"/>
          <w:sz w:val="24"/>
          <w:szCs w:val="24"/>
        </w:rPr>
        <w:t xml:space="preserve">Ayrıca onun, </w:t>
      </w:r>
      <w:proofErr w:type="spellStart"/>
      <w:r w:rsidRPr="00922301">
        <w:rPr>
          <w:rFonts w:asciiTheme="majorBidi" w:hAnsiTheme="majorBidi" w:cstheme="majorBidi"/>
          <w:color w:val="000000" w:themeColor="text1"/>
          <w:sz w:val="24"/>
          <w:szCs w:val="24"/>
        </w:rPr>
        <w:t>Ehl</w:t>
      </w:r>
      <w:proofErr w:type="spellEnd"/>
      <w:r w:rsidRPr="00922301">
        <w:rPr>
          <w:rFonts w:asciiTheme="majorBidi" w:hAnsiTheme="majorBidi" w:cstheme="majorBidi"/>
          <w:color w:val="000000" w:themeColor="text1"/>
          <w:sz w:val="24"/>
          <w:szCs w:val="24"/>
        </w:rPr>
        <w:t xml:space="preserve">-i Kitap arasında çeşitli dinleri sayması ve bunların tek tanrı inancında birleştiğini iddia etmesi de sağlam bir temele dayanmamaktadır. Bu nedenle </w:t>
      </w:r>
      <w:proofErr w:type="spellStart"/>
      <w:r w:rsidRPr="00922301">
        <w:rPr>
          <w:rFonts w:asciiTheme="majorBidi" w:hAnsiTheme="majorBidi" w:cstheme="majorBidi"/>
          <w:color w:val="000000" w:themeColor="text1"/>
          <w:sz w:val="24"/>
          <w:szCs w:val="24"/>
        </w:rPr>
        <w:t>Mâcid</w:t>
      </w:r>
      <w:proofErr w:type="spellEnd"/>
      <w:r w:rsidRPr="00922301">
        <w:rPr>
          <w:rFonts w:asciiTheme="majorBidi" w:hAnsiTheme="majorBidi" w:cstheme="majorBidi"/>
          <w:color w:val="000000" w:themeColor="text1"/>
          <w:sz w:val="24"/>
          <w:szCs w:val="24"/>
        </w:rPr>
        <w:t xml:space="preserve">, her ne kadar çoğulculuk teorisini Kur’an’a dayandırmaya çalışsa da, ayetleri seçici biçimde ele alarak ve </w:t>
      </w:r>
      <w:proofErr w:type="spellStart"/>
      <w:r w:rsidRPr="00922301">
        <w:rPr>
          <w:rFonts w:asciiTheme="majorBidi" w:hAnsiTheme="majorBidi" w:cstheme="majorBidi"/>
          <w:color w:val="000000" w:themeColor="text1"/>
          <w:sz w:val="24"/>
          <w:szCs w:val="24"/>
        </w:rPr>
        <w:t>nesh</w:t>
      </w:r>
      <w:proofErr w:type="spellEnd"/>
      <w:r w:rsidRPr="00922301">
        <w:rPr>
          <w:rFonts w:asciiTheme="majorBidi" w:hAnsiTheme="majorBidi" w:cstheme="majorBidi"/>
          <w:color w:val="000000" w:themeColor="text1"/>
          <w:sz w:val="24"/>
          <w:szCs w:val="24"/>
        </w:rPr>
        <w:t xml:space="preserve"> ilkesini göz ardı ederek sağlıklı ve doğru bir anlayışa ulaşmak mümkün değildir.</w:t>
      </w:r>
    </w:p>
    <w:p w14:paraId="237E59E8" w14:textId="15CD6CCF" w:rsidR="000115FF"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Nurhâlis</w:t>
      </w:r>
      <w:proofErr w:type="spellEnd"/>
      <w:r w:rsidR="000115FF"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0115FF" w:rsidRPr="00D212EE">
        <w:rPr>
          <w:rFonts w:asciiTheme="majorBidi" w:hAnsiTheme="majorBidi" w:cstheme="majorBidi"/>
          <w:sz w:val="24"/>
          <w:szCs w:val="24"/>
        </w:rPr>
        <w:t>’in</w:t>
      </w:r>
      <w:proofErr w:type="spellEnd"/>
      <w:r w:rsidR="000115FF" w:rsidRPr="00D212EE">
        <w:rPr>
          <w:rFonts w:asciiTheme="majorBidi" w:hAnsiTheme="majorBidi" w:cstheme="majorBidi"/>
          <w:sz w:val="24"/>
          <w:szCs w:val="24"/>
        </w:rPr>
        <w:t xml:space="preserve"> fıkıh anlayışı, Müslüman zihnin tarihsel </w:t>
      </w:r>
      <w:proofErr w:type="spellStart"/>
      <w:r w:rsidR="000115FF" w:rsidRPr="00D212EE">
        <w:rPr>
          <w:rFonts w:asciiTheme="majorBidi" w:hAnsiTheme="majorBidi" w:cstheme="majorBidi"/>
          <w:sz w:val="24"/>
          <w:szCs w:val="24"/>
        </w:rPr>
        <w:t>literalizmin</w:t>
      </w:r>
      <w:proofErr w:type="spellEnd"/>
      <w:r w:rsidR="000115FF" w:rsidRPr="00D212EE">
        <w:rPr>
          <w:rFonts w:asciiTheme="majorBidi" w:hAnsiTheme="majorBidi" w:cstheme="majorBidi"/>
          <w:sz w:val="24"/>
          <w:szCs w:val="24"/>
        </w:rPr>
        <w:t xml:space="preserve"> zincirlerinden “içsel özgürleşmesi” çağrısıdır. İnsani gelişimi ve toplumsal adaleti merkeze alan bu yaklaşım, modern, çoğulcu ve ahlaki bir İslam medeniyeti için güçlü bir teorik çerçeve sunmaktadır</w:t>
      </w:r>
      <w:r w:rsidR="00174D0D"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Nurhâlis</w:t>
      </w:r>
      <w:proofErr w:type="spellEnd"/>
      <w:r w:rsidR="00174D0D" w:rsidRPr="00D212EE">
        <w:rPr>
          <w:rFonts w:asciiTheme="majorBidi" w:hAnsiTheme="majorBidi" w:cstheme="majorBidi"/>
          <w:sz w:val="24"/>
          <w:szCs w:val="24"/>
        </w:rPr>
        <w:t xml:space="preserve"> </w:t>
      </w:r>
      <w:proofErr w:type="spellStart"/>
      <w:r w:rsidRPr="00D212EE">
        <w:rPr>
          <w:rFonts w:asciiTheme="majorBidi" w:hAnsiTheme="majorBidi" w:cstheme="majorBidi"/>
          <w:sz w:val="24"/>
          <w:szCs w:val="24"/>
        </w:rPr>
        <w:t>Mâcid</w:t>
      </w:r>
      <w:r w:rsidR="00174D0D" w:rsidRPr="00D212EE">
        <w:rPr>
          <w:rFonts w:asciiTheme="majorBidi" w:hAnsiTheme="majorBidi" w:cstheme="majorBidi"/>
          <w:sz w:val="24"/>
          <w:szCs w:val="24"/>
        </w:rPr>
        <w:t>’in</w:t>
      </w:r>
      <w:proofErr w:type="spellEnd"/>
      <w:r w:rsidR="00174D0D" w:rsidRPr="00D212EE">
        <w:rPr>
          <w:rFonts w:asciiTheme="majorBidi" w:hAnsiTheme="majorBidi" w:cstheme="majorBidi"/>
          <w:sz w:val="24"/>
          <w:szCs w:val="24"/>
        </w:rPr>
        <w:t xml:space="preserve"> fıkıh anlayışı, İslam’a düşman olduğu için değil, İslam’ı tarihsel kabuklarından arındırarak ahlaki özüne döndürmeyi hedeflediği için tartışmalı hâle gelmiştir. Ancak geleneksel ve muhafazakâr çevreler açısından bu yaklaşım, fıkhın bağlayıcılığını, ulemanın otoritesini ve dinin kamusal düzen kurucu rolünü zayıflattığı için “İslam’a aykırı” olarak algılanmıştır. Bu gerilim, aslında </w:t>
      </w:r>
      <w:proofErr w:type="spellStart"/>
      <w:r w:rsidRPr="00D212EE">
        <w:rPr>
          <w:rFonts w:asciiTheme="majorBidi" w:hAnsiTheme="majorBidi" w:cstheme="majorBidi"/>
          <w:sz w:val="24"/>
          <w:szCs w:val="24"/>
        </w:rPr>
        <w:t>Mâcid</w:t>
      </w:r>
      <w:proofErr w:type="spellEnd"/>
      <w:r w:rsidR="00174D0D" w:rsidRPr="00D212EE">
        <w:rPr>
          <w:rFonts w:asciiTheme="majorBidi" w:hAnsiTheme="majorBidi" w:cstheme="majorBidi"/>
          <w:sz w:val="24"/>
          <w:szCs w:val="24"/>
        </w:rPr>
        <w:t xml:space="preserve"> ile muhalifleri arasındaki bir iman meselesinden ziyade, İslam’da otoritenin, bilginin ve değişimin sınırlarının nasıl belirleneceği konusundaki derin metodolojik ayrışmanın bir yansımasıdır.</w:t>
      </w:r>
    </w:p>
    <w:p w14:paraId="411D22EF" w14:textId="2294F4B7" w:rsidR="005E450C" w:rsidRPr="00D212EE" w:rsidRDefault="00374B0D" w:rsidP="00FE6A96">
      <w:pPr>
        <w:pStyle w:val="Heading2"/>
        <w:spacing w:line="360" w:lineRule="auto"/>
        <w:jc w:val="both"/>
      </w:pPr>
      <w:bookmarkStart w:id="52" w:name="_Toc218901297"/>
      <w:bookmarkStart w:id="53" w:name="_Toc219409258"/>
      <w:r w:rsidRPr="00D212EE">
        <w:t>Sonuç</w:t>
      </w:r>
      <w:bookmarkEnd w:id="52"/>
      <w:bookmarkEnd w:id="53"/>
      <w:r w:rsidRPr="00D212EE">
        <w:t xml:space="preserve"> </w:t>
      </w:r>
    </w:p>
    <w:p w14:paraId="624FAA52" w14:textId="0A2764BC" w:rsidR="00E91B72" w:rsidRPr="00D212EE" w:rsidRDefault="00E91B72" w:rsidP="00FE6A96">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Bu çalışma,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düşüncesini, İslami Neo-Modernizm çerçevesinde bütüncül ve sistematik bir biçimde ele almayı amaçlamıştır.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hayatı ve eğitimi, özellikle geleneksel </w:t>
      </w:r>
      <w:proofErr w:type="spellStart"/>
      <w:r w:rsidRPr="00D212EE">
        <w:rPr>
          <w:rFonts w:asciiTheme="majorBidi" w:hAnsiTheme="majorBidi" w:cstheme="majorBidi"/>
          <w:sz w:val="24"/>
          <w:szCs w:val="24"/>
        </w:rPr>
        <w:t>pesantren</w:t>
      </w:r>
      <w:proofErr w:type="spellEnd"/>
      <w:r w:rsidRPr="00D212EE">
        <w:rPr>
          <w:rFonts w:asciiTheme="majorBidi" w:hAnsiTheme="majorBidi" w:cstheme="majorBidi"/>
          <w:sz w:val="24"/>
          <w:szCs w:val="24"/>
        </w:rPr>
        <w:t xml:space="preserve"> kültürü ile modern akademik formasyonun kesişiminde şekillenen entelektüel kimliğinin anlaşılması açısından belirleyici olmuştur. </w:t>
      </w:r>
      <w:proofErr w:type="spellStart"/>
      <w:r w:rsidRPr="00D212EE">
        <w:rPr>
          <w:rFonts w:asciiTheme="majorBidi" w:hAnsiTheme="majorBidi" w:cstheme="majorBidi"/>
          <w:sz w:val="24"/>
          <w:szCs w:val="24"/>
        </w:rPr>
        <w:t>Fazlur</w:t>
      </w:r>
      <w:proofErr w:type="spellEnd"/>
      <w:r w:rsidRPr="00D212EE">
        <w:rPr>
          <w:rFonts w:asciiTheme="majorBidi" w:hAnsiTheme="majorBidi" w:cstheme="majorBidi"/>
          <w:sz w:val="24"/>
          <w:szCs w:val="24"/>
        </w:rPr>
        <w:t xml:space="preserve"> Rahman’ın metodolojik ve teolojik </w:t>
      </w:r>
      <w:r w:rsidRPr="00D212EE">
        <w:rPr>
          <w:rFonts w:asciiTheme="majorBidi" w:hAnsiTheme="majorBidi" w:cstheme="majorBidi"/>
          <w:sz w:val="24"/>
          <w:szCs w:val="24"/>
        </w:rPr>
        <w:lastRenderedPageBreak/>
        <w:t xml:space="preserve">etkisi, </w:t>
      </w:r>
      <w:proofErr w:type="spellStart"/>
      <w:r w:rsidR="00031206" w:rsidRPr="00D212EE">
        <w:rPr>
          <w:rFonts w:asciiTheme="majorBidi" w:hAnsiTheme="majorBidi" w:cstheme="majorBidi"/>
          <w:sz w:val="24"/>
          <w:szCs w:val="24"/>
        </w:rPr>
        <w:t>Mâcid</w:t>
      </w:r>
      <w:r w:rsidRPr="00D212EE">
        <w:rPr>
          <w:rFonts w:asciiTheme="majorBidi" w:hAnsiTheme="majorBidi" w:cstheme="majorBidi"/>
          <w:sz w:val="24"/>
          <w:szCs w:val="24"/>
        </w:rPr>
        <w:t>’in</w:t>
      </w:r>
      <w:proofErr w:type="spellEnd"/>
      <w:r w:rsidRPr="00D212EE">
        <w:rPr>
          <w:rFonts w:asciiTheme="majorBidi" w:hAnsiTheme="majorBidi" w:cstheme="majorBidi"/>
          <w:sz w:val="24"/>
          <w:szCs w:val="24"/>
        </w:rPr>
        <w:t xml:space="preserve"> düşüncesini hem klasik geleneğe içkin hem de modern dünyaya açık kılan temel dinamiklerden biri olarak öne çıkmaktadır.</w:t>
      </w:r>
    </w:p>
    <w:p w14:paraId="2545F477" w14:textId="39C390AC" w:rsidR="00E91B72" w:rsidRPr="00D212EE" w:rsidRDefault="00FE6A96" w:rsidP="002767A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Çalışma</w:t>
      </w:r>
      <w:r w:rsidR="00E91B72" w:rsidRPr="00D212EE">
        <w:rPr>
          <w:rFonts w:asciiTheme="majorBidi" w:hAnsiTheme="majorBidi" w:cstheme="majorBidi"/>
          <w:sz w:val="24"/>
          <w:szCs w:val="24"/>
        </w:rPr>
        <w:t xml:space="preserve"> boyunca gösterildiği üzere </w:t>
      </w:r>
      <w:proofErr w:type="spellStart"/>
      <w:r w:rsidR="00031206" w:rsidRPr="00D212EE">
        <w:rPr>
          <w:rFonts w:asciiTheme="majorBidi" w:hAnsiTheme="majorBidi" w:cstheme="majorBidi"/>
          <w:sz w:val="24"/>
          <w:szCs w:val="24"/>
        </w:rPr>
        <w:t>Mâcid</w:t>
      </w:r>
      <w:r w:rsidR="00E91B72" w:rsidRPr="00D212EE">
        <w:rPr>
          <w:rFonts w:asciiTheme="majorBidi" w:hAnsiTheme="majorBidi" w:cstheme="majorBidi"/>
          <w:sz w:val="24"/>
          <w:szCs w:val="24"/>
        </w:rPr>
        <w:t>’in</w:t>
      </w:r>
      <w:proofErr w:type="spellEnd"/>
      <w:r w:rsidR="00E91B72" w:rsidRPr="00D212EE">
        <w:rPr>
          <w:rFonts w:asciiTheme="majorBidi" w:hAnsiTheme="majorBidi" w:cstheme="majorBidi"/>
          <w:sz w:val="24"/>
          <w:szCs w:val="24"/>
        </w:rPr>
        <w:t xml:space="preserve"> çoğulculuk teorisi, yüzeysel bir hoşgörü söylemine indirgenemeyecek kadar derin bir teolojik ve ontolojik temele sahiptir. “İslam” kavramını evrensel teslimiyet olarak yorumlaması ve </w:t>
      </w:r>
      <w:proofErr w:type="spellStart"/>
      <w:r w:rsidR="00E91B72" w:rsidRPr="00D212EE">
        <w:rPr>
          <w:rFonts w:asciiTheme="majorBidi" w:hAnsiTheme="majorBidi" w:cstheme="majorBidi"/>
          <w:sz w:val="24"/>
          <w:szCs w:val="24"/>
        </w:rPr>
        <w:t>Ehl</w:t>
      </w:r>
      <w:proofErr w:type="spellEnd"/>
      <w:r w:rsidR="00E91B72" w:rsidRPr="00D212EE">
        <w:rPr>
          <w:rFonts w:asciiTheme="majorBidi" w:hAnsiTheme="majorBidi" w:cstheme="majorBidi"/>
          <w:sz w:val="24"/>
          <w:szCs w:val="24"/>
        </w:rPr>
        <w:t xml:space="preserve">-i Kitap kategorisini genişletmesi, </w:t>
      </w:r>
      <w:proofErr w:type="spellStart"/>
      <w:r w:rsidR="00031206" w:rsidRPr="00D212EE">
        <w:rPr>
          <w:rFonts w:asciiTheme="majorBidi" w:hAnsiTheme="majorBidi" w:cstheme="majorBidi"/>
          <w:sz w:val="24"/>
          <w:szCs w:val="24"/>
        </w:rPr>
        <w:t>Mâcid</w:t>
      </w:r>
      <w:r w:rsidR="00E91B72" w:rsidRPr="00D212EE">
        <w:rPr>
          <w:rFonts w:asciiTheme="majorBidi" w:hAnsiTheme="majorBidi" w:cstheme="majorBidi"/>
          <w:sz w:val="24"/>
          <w:szCs w:val="24"/>
        </w:rPr>
        <w:t>’in</w:t>
      </w:r>
      <w:proofErr w:type="spellEnd"/>
      <w:r w:rsidR="00E91B72" w:rsidRPr="00D212EE">
        <w:rPr>
          <w:rFonts w:asciiTheme="majorBidi" w:hAnsiTheme="majorBidi" w:cstheme="majorBidi"/>
          <w:sz w:val="24"/>
          <w:szCs w:val="24"/>
        </w:rPr>
        <w:t xml:space="preserve"> çoğulculuğu vahyin içsel mantığına dayandırma çabasını yansıtmaktadır. Onun yaklaşımda Medine paradigması, farklı inanç ve kimliklerin adalet temelinde birlikte yaşayabileceği tarihsel bir model olarak yeniden okunmuştur. </w:t>
      </w:r>
      <w:proofErr w:type="spellStart"/>
      <w:r w:rsidR="002767A3" w:rsidRPr="00D212EE">
        <w:rPr>
          <w:rFonts w:asciiTheme="majorBidi" w:hAnsiTheme="majorBidi" w:cstheme="majorBidi"/>
          <w:sz w:val="24"/>
          <w:szCs w:val="24"/>
        </w:rPr>
        <w:t>Mâcid’in</w:t>
      </w:r>
      <w:proofErr w:type="spellEnd"/>
      <w:r w:rsidR="002767A3" w:rsidRPr="00D212EE">
        <w:rPr>
          <w:rFonts w:asciiTheme="majorBidi" w:hAnsiTheme="majorBidi" w:cstheme="majorBidi"/>
          <w:sz w:val="24"/>
          <w:szCs w:val="24"/>
        </w:rPr>
        <w:t xml:space="preserve"> </w:t>
      </w:r>
      <w:r w:rsidR="002767A3">
        <w:rPr>
          <w:rFonts w:asciiTheme="majorBidi" w:hAnsiTheme="majorBidi" w:cstheme="majorBidi"/>
          <w:sz w:val="24"/>
          <w:szCs w:val="24"/>
        </w:rPr>
        <w:t xml:space="preserve">benimsediği </w:t>
      </w:r>
      <w:r w:rsidRPr="00D212EE">
        <w:rPr>
          <w:rFonts w:asciiTheme="majorBidi" w:hAnsiTheme="majorBidi" w:cstheme="majorBidi"/>
          <w:sz w:val="24"/>
          <w:szCs w:val="24"/>
        </w:rPr>
        <w:t>görüşler</w:t>
      </w:r>
      <w:r w:rsidR="00E91B72" w:rsidRPr="00D212EE">
        <w:rPr>
          <w:rFonts w:asciiTheme="majorBidi" w:hAnsiTheme="majorBidi" w:cstheme="majorBidi"/>
          <w:sz w:val="24"/>
          <w:szCs w:val="24"/>
        </w:rPr>
        <w:t xml:space="preserve"> onun </w:t>
      </w:r>
      <w:r w:rsidRPr="00D212EE">
        <w:rPr>
          <w:rFonts w:asciiTheme="majorBidi" w:hAnsiTheme="majorBidi" w:cstheme="majorBidi"/>
          <w:sz w:val="24"/>
          <w:szCs w:val="24"/>
        </w:rPr>
        <w:t>yasadığı</w:t>
      </w:r>
      <w:r w:rsidR="00E91B72" w:rsidRPr="00D212EE">
        <w:rPr>
          <w:rFonts w:asciiTheme="majorBidi" w:hAnsiTheme="majorBidi" w:cstheme="majorBidi"/>
          <w:sz w:val="24"/>
          <w:szCs w:val="24"/>
        </w:rPr>
        <w:t xml:space="preserve"> politika </w:t>
      </w:r>
      <w:r w:rsidRPr="00D212EE">
        <w:rPr>
          <w:rFonts w:asciiTheme="majorBidi" w:hAnsiTheme="majorBidi" w:cstheme="majorBidi"/>
          <w:sz w:val="24"/>
          <w:szCs w:val="24"/>
        </w:rPr>
        <w:t>durumlarının</w:t>
      </w:r>
      <w:r w:rsidR="00E91B72" w:rsidRPr="00D212EE">
        <w:rPr>
          <w:rFonts w:asciiTheme="majorBidi" w:hAnsiTheme="majorBidi" w:cstheme="majorBidi"/>
          <w:sz w:val="24"/>
          <w:szCs w:val="24"/>
        </w:rPr>
        <w:t xml:space="preserve"> </w:t>
      </w:r>
      <w:r w:rsidR="002767A3">
        <w:rPr>
          <w:rFonts w:asciiTheme="majorBidi" w:hAnsiTheme="majorBidi" w:cstheme="majorBidi"/>
          <w:sz w:val="24"/>
          <w:szCs w:val="24"/>
        </w:rPr>
        <w:t>a</w:t>
      </w:r>
      <w:r w:rsidR="002767A3" w:rsidRPr="002767A3">
        <w:rPr>
          <w:rFonts w:asciiTheme="majorBidi" w:hAnsiTheme="majorBidi" w:cstheme="majorBidi"/>
          <w:sz w:val="24"/>
          <w:szCs w:val="24"/>
        </w:rPr>
        <w:t>çıkçası bir göstergesi</w:t>
      </w:r>
      <w:r w:rsidR="002767A3" w:rsidRPr="002767A3">
        <w:rPr>
          <w:rFonts w:asciiTheme="majorBidi" w:hAnsiTheme="majorBidi" w:cstheme="majorBidi"/>
          <w:sz w:val="24"/>
          <w:szCs w:val="24"/>
        </w:rPr>
        <w:t xml:space="preserve"> </w:t>
      </w:r>
      <w:r w:rsidR="00E91B72" w:rsidRPr="00D212EE">
        <w:rPr>
          <w:rFonts w:asciiTheme="majorBidi" w:hAnsiTheme="majorBidi" w:cstheme="majorBidi"/>
          <w:sz w:val="24"/>
          <w:szCs w:val="24"/>
        </w:rPr>
        <w:t xml:space="preserve">olarak </w:t>
      </w:r>
      <w:r w:rsidRPr="00D212EE">
        <w:rPr>
          <w:rFonts w:asciiTheme="majorBidi" w:hAnsiTheme="majorBidi" w:cstheme="majorBidi"/>
          <w:sz w:val="24"/>
          <w:szCs w:val="24"/>
        </w:rPr>
        <w:t>öne</w:t>
      </w:r>
      <w:r w:rsidR="00E91B72" w:rsidRPr="00D212EE">
        <w:rPr>
          <w:rFonts w:asciiTheme="majorBidi" w:hAnsiTheme="majorBidi" w:cstheme="majorBidi"/>
          <w:sz w:val="24"/>
          <w:szCs w:val="24"/>
        </w:rPr>
        <w:t xml:space="preserve"> </w:t>
      </w:r>
      <w:r w:rsidRPr="00D212EE">
        <w:rPr>
          <w:rFonts w:asciiTheme="majorBidi" w:hAnsiTheme="majorBidi" w:cstheme="majorBidi"/>
          <w:sz w:val="24"/>
          <w:szCs w:val="24"/>
        </w:rPr>
        <w:t>çıkmaktadır</w:t>
      </w:r>
      <w:r w:rsidR="00E91B72" w:rsidRPr="00D212EE">
        <w:rPr>
          <w:rFonts w:asciiTheme="majorBidi" w:hAnsiTheme="majorBidi" w:cstheme="majorBidi"/>
          <w:sz w:val="24"/>
          <w:szCs w:val="24"/>
        </w:rPr>
        <w:t>. Ancak, tamamen Kur'an'a dayanması ve Kur'an'dan seçilmiş ayetleri çağdaş durumlarla ilişkilendirerek yorumlaması, ayetleri bağlamından koparmanın herkes için sayısız yorumlama olanağı açabileceğinin açık bir göstergesidir. Aynı zamanda, diğer dinleri İslam'la eşit tutmak, Kur'an'ın öğretilerine tamamen aykırıdır, çünkü statü dengesi tamamen bozulacaktır.</w:t>
      </w:r>
    </w:p>
    <w:p w14:paraId="07C0498F" w14:textId="7F76B242" w:rsidR="00E91B72" w:rsidRPr="00D212EE" w:rsidRDefault="00031206" w:rsidP="00FE6A96">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E91B72" w:rsidRPr="00D212EE">
        <w:rPr>
          <w:rFonts w:asciiTheme="majorBidi" w:hAnsiTheme="majorBidi" w:cstheme="majorBidi"/>
          <w:sz w:val="24"/>
          <w:szCs w:val="24"/>
        </w:rPr>
        <w:t>’in</w:t>
      </w:r>
      <w:proofErr w:type="spellEnd"/>
      <w:r w:rsidR="00E91B72" w:rsidRPr="00D212EE">
        <w:rPr>
          <w:rFonts w:asciiTheme="majorBidi" w:hAnsiTheme="majorBidi" w:cstheme="majorBidi"/>
          <w:sz w:val="24"/>
          <w:szCs w:val="24"/>
        </w:rPr>
        <w:t xml:space="preserve"> sekülarizasyon ve </w:t>
      </w:r>
      <w:proofErr w:type="spellStart"/>
      <w:r w:rsidR="00E91B72" w:rsidRPr="00D212EE">
        <w:rPr>
          <w:rFonts w:asciiTheme="majorBidi" w:hAnsiTheme="majorBidi" w:cstheme="majorBidi"/>
          <w:sz w:val="24"/>
          <w:szCs w:val="24"/>
        </w:rPr>
        <w:t>desakralizasyon</w:t>
      </w:r>
      <w:proofErr w:type="spellEnd"/>
      <w:r w:rsidR="00E91B72" w:rsidRPr="00D212EE">
        <w:rPr>
          <w:rFonts w:asciiTheme="majorBidi" w:hAnsiTheme="majorBidi" w:cstheme="majorBidi"/>
          <w:sz w:val="24"/>
          <w:szCs w:val="24"/>
        </w:rPr>
        <w:t xml:space="preserve"> kavramları üzerinden geliştirdiği entegrasyon sistemi, onun düşüncesinin en tartışmalı ancak en özgün yönlerinden biridir. Sekülarizasyonu ateist bir ideoloji olarak değil, insanî alanların kutsallık iddiasından arındırılması şeklinde tanımlaması, dinin kamusal hayatta ahlaki bir rehber olarak var olmasını mümkün kılmaktadır. Bu yaklaşım, </w:t>
      </w:r>
      <w:proofErr w:type="spellStart"/>
      <w:r w:rsidR="00E91B72" w:rsidRPr="00D212EE">
        <w:rPr>
          <w:rFonts w:asciiTheme="majorBidi" w:hAnsiTheme="majorBidi" w:cstheme="majorBidi"/>
          <w:sz w:val="24"/>
          <w:szCs w:val="24"/>
        </w:rPr>
        <w:t>Pancasila</w:t>
      </w:r>
      <w:proofErr w:type="spellEnd"/>
      <w:r w:rsidR="00E91B72" w:rsidRPr="00D212EE">
        <w:rPr>
          <w:rFonts w:asciiTheme="majorBidi" w:hAnsiTheme="majorBidi" w:cstheme="majorBidi"/>
          <w:sz w:val="24"/>
          <w:szCs w:val="24"/>
        </w:rPr>
        <w:t xml:space="preserve"> ve </w:t>
      </w:r>
      <w:proofErr w:type="spellStart"/>
      <w:r w:rsidR="00EF1D4E" w:rsidRPr="00D212EE">
        <w:rPr>
          <w:rFonts w:asciiTheme="majorBidi" w:hAnsiTheme="majorBidi" w:cstheme="majorBidi"/>
          <w:sz w:val="24"/>
          <w:szCs w:val="24"/>
        </w:rPr>
        <w:t>k</w:t>
      </w:r>
      <w:r w:rsidR="00EF1D4E">
        <w:rPr>
          <w:rFonts w:asciiTheme="majorBidi" w:hAnsiTheme="majorBidi" w:cstheme="majorBidi"/>
          <w:sz w:val="24"/>
          <w:szCs w:val="24"/>
        </w:rPr>
        <w:t>e</w:t>
      </w:r>
      <w:r w:rsidR="00EF1D4E" w:rsidRPr="00D212EE">
        <w:rPr>
          <w:rFonts w:asciiTheme="majorBidi" w:hAnsiTheme="majorBidi" w:cstheme="majorBidi"/>
          <w:sz w:val="24"/>
          <w:szCs w:val="24"/>
        </w:rPr>
        <w:t>lim</w:t>
      </w:r>
      <w:r w:rsidR="00EF1D4E">
        <w:rPr>
          <w:rFonts w:asciiTheme="majorBidi" w:hAnsiTheme="majorBidi" w:cstheme="majorBidi"/>
          <w:sz w:val="24"/>
          <w:szCs w:val="24"/>
        </w:rPr>
        <w:t>e</w:t>
      </w:r>
      <w:r w:rsidR="00EF1D4E" w:rsidRPr="00D212EE">
        <w:rPr>
          <w:rFonts w:asciiTheme="majorBidi" w:hAnsiTheme="majorBidi" w:cstheme="majorBidi"/>
          <w:sz w:val="24"/>
          <w:szCs w:val="24"/>
        </w:rPr>
        <w:t>tün</w:t>
      </w:r>
      <w:proofErr w:type="spellEnd"/>
      <w:r w:rsidR="00E91B72" w:rsidRPr="00D212EE">
        <w:rPr>
          <w:rFonts w:asciiTheme="majorBidi" w:hAnsiTheme="majorBidi" w:cstheme="majorBidi"/>
          <w:sz w:val="24"/>
          <w:szCs w:val="24"/>
        </w:rPr>
        <w:t xml:space="preserve"> sava</w:t>
      </w:r>
      <w:r w:rsidR="002C4F84">
        <w:rPr>
          <w:rFonts w:asciiTheme="majorBidi" w:hAnsiTheme="majorBidi" w:cstheme="majorBidi"/>
          <w:sz w:val="24"/>
          <w:szCs w:val="24"/>
        </w:rPr>
        <w:t>’</w:t>
      </w:r>
      <w:r w:rsidR="00E91B72" w:rsidRPr="00D212EE">
        <w:rPr>
          <w:rFonts w:asciiTheme="majorBidi" w:hAnsiTheme="majorBidi" w:cstheme="majorBidi"/>
          <w:sz w:val="24"/>
          <w:szCs w:val="24"/>
        </w:rPr>
        <w:t xml:space="preserve"> kavramları üzerinden Endonezya bağlamında somut bir siyasal ve toplumsal çerçeveye kavuşmuştur.</w:t>
      </w:r>
    </w:p>
    <w:p w14:paraId="6C61DCDD" w14:textId="77777777" w:rsidR="002767A3" w:rsidRDefault="00031206" w:rsidP="002767A3">
      <w:pPr>
        <w:spacing w:line="360" w:lineRule="auto"/>
        <w:ind w:firstLine="720"/>
        <w:jc w:val="both"/>
        <w:rPr>
          <w:rFonts w:asciiTheme="majorBidi" w:hAnsiTheme="majorBidi" w:cstheme="majorBidi"/>
          <w:sz w:val="24"/>
          <w:szCs w:val="24"/>
        </w:rPr>
      </w:pPr>
      <w:proofErr w:type="spellStart"/>
      <w:r w:rsidRPr="00D212EE">
        <w:rPr>
          <w:rFonts w:asciiTheme="majorBidi" w:hAnsiTheme="majorBidi" w:cstheme="majorBidi"/>
          <w:sz w:val="24"/>
          <w:szCs w:val="24"/>
        </w:rPr>
        <w:t>Mâcid</w:t>
      </w:r>
      <w:r w:rsidR="00E91B72" w:rsidRPr="00D212EE">
        <w:rPr>
          <w:rFonts w:asciiTheme="majorBidi" w:hAnsiTheme="majorBidi" w:cstheme="majorBidi"/>
          <w:sz w:val="24"/>
          <w:szCs w:val="24"/>
        </w:rPr>
        <w:t>’in</w:t>
      </w:r>
      <w:proofErr w:type="spellEnd"/>
      <w:r w:rsidR="00E91B72" w:rsidRPr="00D212EE">
        <w:rPr>
          <w:rFonts w:asciiTheme="majorBidi" w:hAnsiTheme="majorBidi" w:cstheme="majorBidi"/>
          <w:sz w:val="24"/>
          <w:szCs w:val="24"/>
        </w:rPr>
        <w:t xml:space="preserve"> fıkıh anlayışı </w:t>
      </w:r>
      <w:r w:rsidR="00FE6A96" w:rsidRPr="00D212EE">
        <w:rPr>
          <w:rFonts w:asciiTheme="majorBidi" w:hAnsiTheme="majorBidi" w:cstheme="majorBidi"/>
          <w:sz w:val="24"/>
          <w:szCs w:val="24"/>
        </w:rPr>
        <w:t>da</w:t>
      </w:r>
      <w:r w:rsidR="00E91B72" w:rsidRPr="00D212EE">
        <w:rPr>
          <w:rFonts w:asciiTheme="majorBidi" w:hAnsiTheme="majorBidi" w:cstheme="majorBidi"/>
          <w:sz w:val="24"/>
          <w:szCs w:val="24"/>
        </w:rPr>
        <w:t xml:space="preserve"> </w:t>
      </w:r>
      <w:proofErr w:type="spellStart"/>
      <w:r w:rsidR="00E91B72" w:rsidRPr="00D212EE">
        <w:rPr>
          <w:rFonts w:asciiTheme="majorBidi" w:hAnsiTheme="majorBidi" w:cstheme="majorBidi"/>
          <w:sz w:val="24"/>
          <w:szCs w:val="24"/>
        </w:rPr>
        <w:t>literal</w:t>
      </w:r>
      <w:proofErr w:type="spellEnd"/>
      <w:r w:rsidR="00E91B72" w:rsidRPr="00D212EE">
        <w:rPr>
          <w:rFonts w:asciiTheme="majorBidi" w:hAnsiTheme="majorBidi" w:cstheme="majorBidi"/>
          <w:sz w:val="24"/>
          <w:szCs w:val="24"/>
        </w:rPr>
        <w:t xml:space="preserve"> ve donmuş yorumlara karşı, hukukun amaçlarını önceleyen dinamik bir perspektif sunmaktadır. </w:t>
      </w:r>
      <w:proofErr w:type="spellStart"/>
      <w:r w:rsidRPr="00D212EE">
        <w:rPr>
          <w:rFonts w:asciiTheme="majorBidi" w:hAnsiTheme="majorBidi" w:cstheme="majorBidi"/>
          <w:sz w:val="24"/>
          <w:szCs w:val="24"/>
        </w:rPr>
        <w:t>Mâcid</w:t>
      </w:r>
      <w:proofErr w:type="spellEnd"/>
      <w:r w:rsidR="00E91B72" w:rsidRPr="00D212EE">
        <w:rPr>
          <w:rFonts w:asciiTheme="majorBidi" w:hAnsiTheme="majorBidi" w:cstheme="majorBidi"/>
          <w:sz w:val="24"/>
          <w:szCs w:val="24"/>
        </w:rPr>
        <w:t xml:space="preserve">, miras, irtidat, </w:t>
      </w:r>
      <w:proofErr w:type="spellStart"/>
      <w:r w:rsidR="00E91B72" w:rsidRPr="00D212EE">
        <w:rPr>
          <w:rFonts w:asciiTheme="majorBidi" w:hAnsiTheme="majorBidi" w:cstheme="majorBidi"/>
          <w:sz w:val="24"/>
          <w:szCs w:val="24"/>
        </w:rPr>
        <w:t>dinlerarası</w:t>
      </w:r>
      <w:proofErr w:type="spellEnd"/>
      <w:r w:rsidR="00E91B72" w:rsidRPr="00D212EE">
        <w:rPr>
          <w:rFonts w:asciiTheme="majorBidi" w:hAnsiTheme="majorBidi" w:cstheme="majorBidi"/>
          <w:sz w:val="24"/>
          <w:szCs w:val="24"/>
        </w:rPr>
        <w:t xml:space="preserve"> evlilikler gibi alanlarda klasik fıkhın kesin kabul edilen hükümlerini yeniden yorumlanmıştır. Oysa geleneksel </w:t>
      </w:r>
      <w:proofErr w:type="spellStart"/>
      <w:r w:rsidR="00E91B72" w:rsidRPr="00D212EE">
        <w:rPr>
          <w:rFonts w:asciiTheme="majorBidi" w:hAnsiTheme="majorBidi" w:cstheme="majorBidi"/>
          <w:sz w:val="24"/>
          <w:szCs w:val="24"/>
        </w:rPr>
        <w:t>usûlde</w:t>
      </w:r>
      <w:proofErr w:type="spellEnd"/>
      <w:r w:rsidR="00E91B72" w:rsidRPr="00D212EE">
        <w:rPr>
          <w:rFonts w:asciiTheme="majorBidi" w:hAnsiTheme="majorBidi" w:cstheme="majorBidi"/>
          <w:sz w:val="24"/>
          <w:szCs w:val="24"/>
        </w:rPr>
        <w:t xml:space="preserve"> bu tür hükümler, </w:t>
      </w:r>
      <w:proofErr w:type="spellStart"/>
      <w:r w:rsidR="00E91B72" w:rsidRPr="00D212EE">
        <w:rPr>
          <w:rFonts w:asciiTheme="majorBidi" w:hAnsiTheme="majorBidi" w:cstheme="majorBidi"/>
          <w:sz w:val="24"/>
          <w:szCs w:val="24"/>
        </w:rPr>
        <w:t>kaṭʿî</w:t>
      </w:r>
      <w:proofErr w:type="spellEnd"/>
      <w:r w:rsidR="00E91B72" w:rsidRPr="00D212EE">
        <w:rPr>
          <w:rFonts w:asciiTheme="majorBidi" w:hAnsiTheme="majorBidi" w:cstheme="majorBidi"/>
          <w:sz w:val="24"/>
          <w:szCs w:val="24"/>
        </w:rPr>
        <w:t xml:space="preserve"> delillere dayan</w:t>
      </w:r>
      <w:r w:rsidR="002767A3">
        <w:rPr>
          <w:rFonts w:asciiTheme="majorBidi" w:hAnsiTheme="majorBidi" w:cstheme="majorBidi"/>
          <w:sz w:val="24"/>
          <w:szCs w:val="24"/>
        </w:rPr>
        <w:t>maktadır</w:t>
      </w:r>
      <w:r w:rsidR="00E91B72" w:rsidRPr="00D212EE">
        <w:rPr>
          <w:rFonts w:asciiTheme="majorBidi" w:hAnsiTheme="majorBidi" w:cstheme="majorBidi"/>
          <w:sz w:val="24"/>
          <w:szCs w:val="24"/>
        </w:rPr>
        <w:t xml:space="preserve">. </w:t>
      </w:r>
      <w:r w:rsidR="002767A3" w:rsidRPr="002767A3">
        <w:rPr>
          <w:rFonts w:asciiTheme="majorBidi" w:hAnsiTheme="majorBidi" w:cstheme="majorBidi"/>
          <w:sz w:val="24"/>
          <w:szCs w:val="24"/>
        </w:rPr>
        <w:t>Yorumların yalnızca maslahat ilkesine dayandırılması, tüm kural ve hükümlerin değişebilir hale gelmesine yol açacaktır. Bu durum, sarsılmaz bir hukuki zeminin ortadan kalkmasına ve sistemin temel dayanaklarının belirsizleşmesine neden olur.</w:t>
      </w:r>
    </w:p>
    <w:p w14:paraId="791FCCC1" w14:textId="091E59A6" w:rsidR="009F5A59" w:rsidRPr="00D212EE" w:rsidRDefault="00E91B72" w:rsidP="002767A3">
      <w:pPr>
        <w:spacing w:line="360" w:lineRule="auto"/>
        <w:ind w:firstLine="720"/>
        <w:jc w:val="both"/>
        <w:rPr>
          <w:rFonts w:asciiTheme="majorBidi" w:hAnsiTheme="majorBidi" w:cstheme="majorBidi"/>
          <w:sz w:val="24"/>
          <w:szCs w:val="24"/>
        </w:rPr>
      </w:pPr>
      <w:r w:rsidRPr="00D212EE">
        <w:rPr>
          <w:rFonts w:asciiTheme="majorBidi" w:hAnsiTheme="majorBidi" w:cstheme="majorBidi"/>
          <w:sz w:val="24"/>
          <w:szCs w:val="24"/>
        </w:rPr>
        <w:t xml:space="preserve">Sonuç olarak </w:t>
      </w:r>
      <w:proofErr w:type="spellStart"/>
      <w:r w:rsidR="00031206" w:rsidRPr="00D212EE">
        <w:rPr>
          <w:rFonts w:asciiTheme="majorBidi" w:hAnsiTheme="majorBidi" w:cstheme="majorBidi"/>
          <w:sz w:val="24"/>
          <w:szCs w:val="24"/>
        </w:rPr>
        <w:t>Nurhâlis</w:t>
      </w:r>
      <w:proofErr w:type="spellEnd"/>
      <w:r w:rsidRPr="00D212EE">
        <w:rPr>
          <w:rFonts w:asciiTheme="majorBidi" w:hAnsiTheme="majorBidi" w:cstheme="majorBidi"/>
          <w:sz w:val="24"/>
          <w:szCs w:val="24"/>
        </w:rPr>
        <w:t xml:space="preserve"> </w:t>
      </w:r>
      <w:proofErr w:type="spellStart"/>
      <w:r w:rsidR="00031206" w:rsidRPr="00D212EE">
        <w:rPr>
          <w:rFonts w:asciiTheme="majorBidi" w:hAnsiTheme="majorBidi" w:cstheme="majorBidi"/>
          <w:sz w:val="24"/>
          <w:szCs w:val="24"/>
        </w:rPr>
        <w:t>Mâcid</w:t>
      </w:r>
      <w:proofErr w:type="spellEnd"/>
      <w:r w:rsidRPr="00D212EE">
        <w:rPr>
          <w:rFonts w:asciiTheme="majorBidi" w:hAnsiTheme="majorBidi" w:cstheme="majorBidi"/>
          <w:sz w:val="24"/>
          <w:szCs w:val="24"/>
        </w:rPr>
        <w:t xml:space="preserve">, İslam ile modernlik, din ile demokrasi ve inanç ile çoğulculuk arasındaki ilişkiye dair sunduğu kavramsal çerçeveyle yalnızca Endonezya için değil, küresel İslam düşüncesi için de bir referans noktası </w:t>
      </w:r>
      <w:r w:rsidR="00EF1D4E" w:rsidRPr="00EF1D4E">
        <w:rPr>
          <w:rFonts w:asciiTheme="majorBidi" w:hAnsiTheme="majorBidi" w:cstheme="majorBidi"/>
          <w:sz w:val="24"/>
          <w:szCs w:val="24"/>
        </w:rPr>
        <w:t>haline geldiği düşünülmektedir</w:t>
      </w:r>
      <w:r w:rsidRPr="00D212EE">
        <w:rPr>
          <w:rFonts w:asciiTheme="majorBidi" w:hAnsiTheme="majorBidi" w:cstheme="majorBidi"/>
          <w:sz w:val="24"/>
          <w:szCs w:val="24"/>
        </w:rPr>
        <w:t>.</w:t>
      </w:r>
    </w:p>
    <w:p w14:paraId="5A9B8EDB" w14:textId="1727E91F" w:rsidR="009F5A59" w:rsidRPr="00D212EE" w:rsidRDefault="00D212EE" w:rsidP="00511C53">
      <w:pPr>
        <w:pStyle w:val="Heading2"/>
        <w:spacing w:line="360" w:lineRule="auto"/>
        <w:jc w:val="both"/>
      </w:pPr>
      <w:bookmarkStart w:id="54" w:name="_Toc219409259"/>
      <w:r w:rsidRPr="00D212EE">
        <w:lastRenderedPageBreak/>
        <w:t>Kaynakça</w:t>
      </w:r>
      <w:bookmarkEnd w:id="54"/>
    </w:p>
    <w:p w14:paraId="18491A1C" w14:textId="77777777" w:rsidR="00741410" w:rsidRPr="003B71D3" w:rsidRDefault="00D212EE" w:rsidP="003B71D3">
      <w:pPr>
        <w:pStyle w:val="Bibliography"/>
        <w:spacing w:line="360" w:lineRule="auto"/>
        <w:rPr>
          <w:rFonts w:ascii="Times New Roman" w:hAnsi="Times New Roman" w:cs="Times New Roman"/>
          <w:sz w:val="24"/>
          <w:szCs w:val="24"/>
        </w:rPr>
      </w:pPr>
      <w:r w:rsidRPr="003B71D3">
        <w:rPr>
          <w:rFonts w:asciiTheme="majorBidi" w:hAnsiTheme="majorBidi" w:cstheme="majorBidi"/>
          <w:sz w:val="24"/>
          <w:szCs w:val="24"/>
        </w:rPr>
        <w:fldChar w:fldCharType="begin"/>
      </w:r>
      <w:r w:rsidRPr="003B71D3">
        <w:rPr>
          <w:rFonts w:asciiTheme="majorBidi" w:hAnsiTheme="majorBidi" w:cstheme="majorBidi"/>
          <w:sz w:val="24"/>
          <w:szCs w:val="24"/>
        </w:rPr>
        <w:instrText xml:space="preserve"> ADDIN ZOTERO_BIBL {"uncited":[],"omitted":[],"custom":[]} CSL_BIBLIOGRAPHY </w:instrText>
      </w:r>
      <w:r w:rsidRPr="003B71D3">
        <w:rPr>
          <w:rFonts w:asciiTheme="majorBidi" w:hAnsiTheme="majorBidi" w:cstheme="majorBidi"/>
          <w:sz w:val="24"/>
          <w:szCs w:val="24"/>
        </w:rPr>
        <w:fldChar w:fldCharType="separate"/>
      </w:r>
      <w:r w:rsidR="00741410" w:rsidRPr="003B71D3">
        <w:rPr>
          <w:rFonts w:ascii="Times New Roman" w:hAnsi="Times New Roman" w:cs="Times New Roman"/>
          <w:sz w:val="24"/>
          <w:szCs w:val="24"/>
        </w:rPr>
        <w:t xml:space="preserve">Abdullah, M. Amin (ed.). “Nurcholish Madjid and Religious Pluralism in Indonesian Islam”. </w:t>
      </w:r>
      <w:r w:rsidR="00741410" w:rsidRPr="003B71D3">
        <w:rPr>
          <w:rFonts w:ascii="Times New Roman" w:hAnsi="Times New Roman" w:cs="Times New Roman"/>
          <w:i/>
          <w:iCs/>
          <w:sz w:val="24"/>
          <w:szCs w:val="24"/>
        </w:rPr>
        <w:t>Pluralism in Islamic Contexts - Ethics, Politics and Modern Challenges</w:t>
      </w:r>
      <w:r w:rsidR="00741410" w:rsidRPr="003B71D3">
        <w:rPr>
          <w:rFonts w:ascii="Times New Roman" w:hAnsi="Times New Roman" w:cs="Times New Roman"/>
          <w:sz w:val="24"/>
          <w:szCs w:val="24"/>
        </w:rPr>
        <w:t>. 16/189-200. Philosophy and Politics - Critical Explorations. Cham: Springer International Publishing, 2021. https://doi.org/10.1007/978-3-030-66089-5</w:t>
      </w:r>
    </w:p>
    <w:p w14:paraId="477B6476"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Ahmad Hasan Ridwan vd. “Implementing and Interpreting Fazlur Rahman’s Islamic Moderation Concept in the Indonesian Context”. </w:t>
      </w:r>
      <w:r w:rsidRPr="003B71D3">
        <w:rPr>
          <w:rFonts w:ascii="Times New Roman" w:hAnsi="Times New Roman" w:cs="Times New Roman"/>
          <w:i/>
          <w:iCs/>
          <w:sz w:val="24"/>
          <w:szCs w:val="24"/>
        </w:rPr>
        <w:t>Journal of Islamic Thought and Civilization</w:t>
      </w:r>
      <w:r w:rsidRPr="003B71D3">
        <w:rPr>
          <w:rFonts w:ascii="Times New Roman" w:hAnsi="Times New Roman" w:cs="Times New Roman"/>
          <w:sz w:val="24"/>
          <w:szCs w:val="24"/>
        </w:rPr>
        <w:t xml:space="preserve"> 12/2 (11 Kasım 2022), 58-73. https://doi.org/10.32350/jitc.122.05</w:t>
      </w:r>
    </w:p>
    <w:p w14:paraId="63C9D6DC"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Bakti, Andi Faisal. “Islam and Modernity: Nurcholish Madjid’s Interpretation of Civil Society, Pluralism, Secularization, and Democracy”. </w:t>
      </w:r>
      <w:r w:rsidRPr="003B71D3">
        <w:rPr>
          <w:rFonts w:ascii="Times New Roman" w:hAnsi="Times New Roman" w:cs="Times New Roman"/>
          <w:i/>
          <w:iCs/>
          <w:sz w:val="24"/>
          <w:szCs w:val="24"/>
        </w:rPr>
        <w:t>Asian Journal of Social Science</w:t>
      </w:r>
      <w:r w:rsidRPr="003B71D3">
        <w:rPr>
          <w:rFonts w:ascii="Times New Roman" w:hAnsi="Times New Roman" w:cs="Times New Roman"/>
          <w:sz w:val="24"/>
          <w:szCs w:val="24"/>
        </w:rPr>
        <w:t xml:space="preserve"> 33/3 (2005), 486-505.</w:t>
      </w:r>
    </w:p>
    <w:p w14:paraId="5144A783"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Barton, Greg. “Indonesia’s Nurcholish Madjid And Abdurrahman Wahid As Intellectual ’Ulama’: The Meeting Of Islamic Traditionalism And Modernism In Neo-Modernist Thought”. </w:t>
      </w:r>
      <w:r w:rsidRPr="003B71D3">
        <w:rPr>
          <w:rFonts w:ascii="Times New Roman" w:hAnsi="Times New Roman" w:cs="Times New Roman"/>
          <w:i/>
          <w:iCs/>
          <w:sz w:val="24"/>
          <w:szCs w:val="24"/>
        </w:rPr>
        <w:t>Studia Islamika: Indonesian Journal for Islamic Sciences</w:t>
      </w:r>
      <w:r w:rsidRPr="003B71D3">
        <w:rPr>
          <w:rFonts w:ascii="Times New Roman" w:hAnsi="Times New Roman" w:cs="Times New Roman"/>
          <w:sz w:val="24"/>
          <w:szCs w:val="24"/>
        </w:rPr>
        <w:t xml:space="preserve"> 4/1 (01 Ocak 1997), 29-81.</w:t>
      </w:r>
    </w:p>
    <w:p w14:paraId="51DB3484"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Dian vd. “Nurcholish Madjid’s Perspective About Thought of Religious Pluralism”. </w:t>
      </w:r>
      <w:r w:rsidRPr="003B71D3">
        <w:rPr>
          <w:rFonts w:ascii="Times New Roman" w:hAnsi="Times New Roman" w:cs="Times New Roman"/>
          <w:i/>
          <w:iCs/>
          <w:sz w:val="24"/>
          <w:szCs w:val="24"/>
        </w:rPr>
        <w:t>Munaddhomah: Jurnal Manajemen Pendidikan Islam</w:t>
      </w:r>
      <w:r w:rsidRPr="003B71D3">
        <w:rPr>
          <w:rFonts w:ascii="Times New Roman" w:hAnsi="Times New Roman" w:cs="Times New Roman"/>
          <w:sz w:val="24"/>
          <w:szCs w:val="24"/>
        </w:rPr>
        <w:t xml:space="preserve"> 3/2 (18 Aralık 2022), 139-148.</w:t>
      </w:r>
    </w:p>
    <w:p w14:paraId="617A8351"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Fealy, Greg. “Nurcholish Madjid: Remembering Indonesia’s Pre-Eminent Islamic Reformer”. Overland Society Ltd, Australia, 2007.</w:t>
      </w:r>
    </w:p>
    <w:p w14:paraId="340CB2B0"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GÖKSOY, İSMAİL HAKKI. “NURHÂLİS MÂCİD”. </w:t>
      </w:r>
      <w:r w:rsidRPr="003B71D3">
        <w:rPr>
          <w:rFonts w:ascii="Times New Roman" w:hAnsi="Times New Roman" w:cs="Times New Roman"/>
          <w:i/>
          <w:iCs/>
          <w:sz w:val="24"/>
          <w:szCs w:val="24"/>
        </w:rPr>
        <w:t>TDV İslâm Ansiklopedisi</w:t>
      </w:r>
      <w:r w:rsidRPr="003B71D3">
        <w:rPr>
          <w:rFonts w:ascii="Times New Roman" w:hAnsi="Times New Roman" w:cs="Times New Roman"/>
          <w:sz w:val="24"/>
          <w:szCs w:val="24"/>
        </w:rPr>
        <w:t>, 2019. https://islamansiklopedisi.org.tr/nurhalis-macid</w:t>
      </w:r>
    </w:p>
    <w:p w14:paraId="662FD1DE"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Hadita, Cynthia - Thamrin, Muhammad Husni. “Nurcholish Madjid, Liberation Theology, and the Reconstruction of Islam as a Religion of Humanity: A Contemporary Analysis”. </w:t>
      </w:r>
      <w:r w:rsidRPr="003B71D3">
        <w:rPr>
          <w:rFonts w:ascii="Times New Roman" w:hAnsi="Times New Roman" w:cs="Times New Roman"/>
          <w:i/>
          <w:iCs/>
          <w:sz w:val="24"/>
          <w:szCs w:val="24"/>
        </w:rPr>
        <w:t>Pharos Journal of Theology</w:t>
      </w:r>
      <w:r w:rsidRPr="003B71D3">
        <w:rPr>
          <w:rFonts w:ascii="Times New Roman" w:hAnsi="Times New Roman" w:cs="Times New Roman"/>
          <w:sz w:val="24"/>
          <w:szCs w:val="24"/>
        </w:rPr>
        <w:t>. https://doi.org/10.46222/pharosjot.107.24</w:t>
      </w:r>
    </w:p>
    <w:p w14:paraId="539319DF"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Hajam. “Islam and Gender In The Perspective of Nurcholish Madjid”. Tangerang Selatan, Indonesia: Atlantis Press, 2019. https://doi.org/10.2991/icclas-18.2019.60</w:t>
      </w:r>
    </w:p>
    <w:p w14:paraId="4D547340"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Hanafi, Mohammad. </w:t>
      </w:r>
      <w:r w:rsidRPr="003B71D3">
        <w:rPr>
          <w:rFonts w:ascii="Times New Roman" w:hAnsi="Times New Roman" w:cs="Times New Roman"/>
          <w:i/>
          <w:iCs/>
          <w:sz w:val="24"/>
          <w:szCs w:val="24"/>
        </w:rPr>
        <w:t>A Deconstructive Reading of Nurcholish Madjid’s Thought on Religious Reform</w:t>
      </w:r>
      <w:r w:rsidRPr="003B71D3">
        <w:rPr>
          <w:rFonts w:ascii="Times New Roman" w:hAnsi="Times New Roman" w:cs="Times New Roman"/>
          <w:sz w:val="24"/>
          <w:szCs w:val="24"/>
        </w:rPr>
        <w:t>. ATHENS, GEORGIA: University of Georgia, 2006.</w:t>
      </w:r>
    </w:p>
    <w:p w14:paraId="3BD64607"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Johns, Anthony H. - Saeed, Abdullah. “Nurcholish Madjid and the Interpretation of the Qur’an: Religious Pluralism and Tolerance”. </w:t>
      </w:r>
      <w:r w:rsidRPr="003B71D3">
        <w:rPr>
          <w:rFonts w:ascii="Times New Roman" w:hAnsi="Times New Roman" w:cs="Times New Roman"/>
          <w:i/>
          <w:iCs/>
          <w:sz w:val="24"/>
          <w:szCs w:val="24"/>
        </w:rPr>
        <w:t>Modern Muslim Intellectuals and the Qur’an</w:t>
      </w:r>
      <w:r w:rsidRPr="003B71D3">
        <w:rPr>
          <w:rFonts w:ascii="Times New Roman" w:hAnsi="Times New Roman" w:cs="Times New Roman"/>
          <w:sz w:val="24"/>
          <w:szCs w:val="24"/>
        </w:rPr>
        <w:t>. 67-96. London: Oxford University Press, 2006.</w:t>
      </w:r>
    </w:p>
    <w:p w14:paraId="264943F9"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lastRenderedPageBreak/>
        <w:t xml:space="preserve">Lahaji - Faisal, Ahmad. “‘Caliphate No in Indonesia’: Nurcholish Madjid and Yudian Wahyudi Critiques toward Islamic State Discourse in Indonesian Islam”. </w:t>
      </w:r>
      <w:r w:rsidRPr="003B71D3">
        <w:rPr>
          <w:rFonts w:ascii="Times New Roman" w:hAnsi="Times New Roman" w:cs="Times New Roman"/>
          <w:i/>
          <w:iCs/>
          <w:sz w:val="24"/>
          <w:szCs w:val="24"/>
        </w:rPr>
        <w:t>Cogent Social Sciences</w:t>
      </w:r>
      <w:r w:rsidRPr="003B71D3">
        <w:rPr>
          <w:rFonts w:ascii="Times New Roman" w:hAnsi="Times New Roman" w:cs="Times New Roman"/>
          <w:sz w:val="24"/>
          <w:szCs w:val="24"/>
        </w:rPr>
        <w:t xml:space="preserve"> 9/2 (15 Aralık 2023), 2278207. https://doi.org/10.1080/23311886.2023.2278207</w:t>
      </w:r>
    </w:p>
    <w:p w14:paraId="63C18198"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Nafis, Andi Ahmad Zahri vd. “Pluralism Theology of Nurcholish Madjid”. </w:t>
      </w:r>
      <w:r w:rsidRPr="003B71D3">
        <w:rPr>
          <w:rFonts w:ascii="Times New Roman" w:hAnsi="Times New Roman" w:cs="Times New Roman"/>
          <w:i/>
          <w:iCs/>
          <w:sz w:val="24"/>
          <w:szCs w:val="24"/>
        </w:rPr>
        <w:t>Al-Mutsla : Jurnal Ilmu-Ilmu Keislaman Dan Kemasyarakatan</w:t>
      </w:r>
      <w:r w:rsidRPr="003B71D3">
        <w:rPr>
          <w:rFonts w:ascii="Times New Roman" w:hAnsi="Times New Roman" w:cs="Times New Roman"/>
          <w:sz w:val="24"/>
          <w:szCs w:val="24"/>
        </w:rPr>
        <w:t xml:space="preserve"> 5/1 (Haziran 2023), 54-71.</w:t>
      </w:r>
    </w:p>
    <w:p w14:paraId="119591C4"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Nurdin, Ahmad Ali. “Revisiting Discourse on Islam and State Relation in Indonesia: The View of Soekarno, Natsir and Nurcholish Madjid”. </w:t>
      </w:r>
      <w:r w:rsidRPr="003B71D3">
        <w:rPr>
          <w:rFonts w:ascii="Times New Roman" w:hAnsi="Times New Roman" w:cs="Times New Roman"/>
          <w:i/>
          <w:iCs/>
          <w:sz w:val="24"/>
          <w:szCs w:val="24"/>
        </w:rPr>
        <w:t>Indonesian Journal of Islam and Muslim Societies</w:t>
      </w:r>
      <w:r w:rsidRPr="003B71D3">
        <w:rPr>
          <w:rFonts w:ascii="Times New Roman" w:hAnsi="Times New Roman" w:cs="Times New Roman"/>
          <w:sz w:val="24"/>
          <w:szCs w:val="24"/>
        </w:rPr>
        <w:t xml:space="preserve"> 6/1 (01 Haziran 2016), 63-92.</w:t>
      </w:r>
    </w:p>
    <w:p w14:paraId="3205D51C"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Sirry, Mun’im. “Secularization in the Mind of Muslim Reformists: A Case Study of Nurcholish Madjid and Fouad Zakaria”. </w:t>
      </w:r>
      <w:r w:rsidRPr="003B71D3">
        <w:rPr>
          <w:rFonts w:ascii="Times New Roman" w:hAnsi="Times New Roman" w:cs="Times New Roman"/>
          <w:i/>
          <w:iCs/>
          <w:sz w:val="24"/>
          <w:szCs w:val="24"/>
        </w:rPr>
        <w:t>JOURNAL OF INDONESIAN ISLAM</w:t>
      </w:r>
      <w:r w:rsidRPr="003B71D3">
        <w:rPr>
          <w:rFonts w:ascii="Times New Roman" w:hAnsi="Times New Roman" w:cs="Times New Roman"/>
          <w:sz w:val="24"/>
          <w:szCs w:val="24"/>
        </w:rPr>
        <w:t xml:space="preserve"> 1/2 (01 Aralık 2007), 323-355.</w:t>
      </w:r>
    </w:p>
    <w:p w14:paraId="24CD62E6"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Sumanta. “Nurcholish Madjid Inclusive Thinking In Religion And State Relations In Indonesia”. </w:t>
      </w:r>
      <w:r w:rsidRPr="003B71D3">
        <w:rPr>
          <w:rFonts w:ascii="Times New Roman" w:hAnsi="Times New Roman" w:cs="Times New Roman"/>
          <w:i/>
          <w:iCs/>
          <w:sz w:val="24"/>
          <w:szCs w:val="24"/>
        </w:rPr>
        <w:t>JURNAL YAQZHAN: Analisis Filsafat, Agama Dan Kemanusiaan</w:t>
      </w:r>
      <w:r w:rsidRPr="003B71D3">
        <w:rPr>
          <w:rFonts w:ascii="Times New Roman" w:hAnsi="Times New Roman" w:cs="Times New Roman"/>
          <w:sz w:val="24"/>
          <w:szCs w:val="24"/>
        </w:rPr>
        <w:t xml:space="preserve"> 8/1 (01 Haziran 2022). https://doi.org/10.24235/jy.v8i1.11020</w:t>
      </w:r>
    </w:p>
    <w:p w14:paraId="7657CF38"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Wekke, Ismail Suardi. “Fazlur Rahman and His Enduring Legacy for Indonesian Islamic Scholarship” 3/1 (2025).</w:t>
      </w:r>
    </w:p>
    <w:p w14:paraId="21B583FE"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Yufriadi, Ferdi vd. “Nurcholish Madjid’s Neo-Modernism in Substantive Islamic Movements in Indonesia”. </w:t>
      </w:r>
      <w:r w:rsidRPr="003B71D3">
        <w:rPr>
          <w:rFonts w:ascii="Times New Roman" w:hAnsi="Times New Roman" w:cs="Times New Roman"/>
          <w:i/>
          <w:iCs/>
          <w:sz w:val="24"/>
          <w:szCs w:val="24"/>
        </w:rPr>
        <w:t>Perwakilan: Journal of Good Governance, Diplomacy, Customary Institutionalization and Social Networks</w:t>
      </w:r>
      <w:r w:rsidRPr="003B71D3">
        <w:rPr>
          <w:rFonts w:ascii="Times New Roman" w:hAnsi="Times New Roman" w:cs="Times New Roman"/>
          <w:sz w:val="24"/>
          <w:szCs w:val="24"/>
        </w:rPr>
        <w:t xml:space="preserve"> 1 (09 Aralık 2023), 53-62.</w:t>
      </w:r>
    </w:p>
    <w:p w14:paraId="4B95696F" w14:textId="77777777" w:rsidR="00741410" w:rsidRPr="003B71D3" w:rsidRDefault="00741410" w:rsidP="003B71D3">
      <w:pPr>
        <w:pStyle w:val="Bibliography"/>
        <w:spacing w:line="360" w:lineRule="auto"/>
        <w:rPr>
          <w:rFonts w:ascii="Times New Roman" w:hAnsi="Times New Roman" w:cs="Times New Roman"/>
          <w:sz w:val="24"/>
          <w:szCs w:val="24"/>
        </w:rPr>
      </w:pPr>
      <w:r w:rsidRPr="003B71D3">
        <w:rPr>
          <w:rFonts w:ascii="Times New Roman" w:hAnsi="Times New Roman" w:cs="Times New Roman"/>
          <w:sz w:val="24"/>
          <w:szCs w:val="24"/>
        </w:rPr>
        <w:t xml:space="preserve">Zaprulkhan vd. “Integrating Islam with Humanity and Indonesian Identity: Perspectives of Nurcholish Madjid and Ahmad Syafii Maarif”. </w:t>
      </w:r>
      <w:r w:rsidRPr="003B71D3">
        <w:rPr>
          <w:rFonts w:ascii="Times New Roman" w:hAnsi="Times New Roman" w:cs="Times New Roman"/>
          <w:i/>
          <w:iCs/>
          <w:sz w:val="24"/>
          <w:szCs w:val="24"/>
        </w:rPr>
        <w:t>Journal of Islamic Thought and Civilization</w:t>
      </w:r>
      <w:r w:rsidRPr="003B71D3">
        <w:rPr>
          <w:rFonts w:ascii="Times New Roman" w:hAnsi="Times New Roman" w:cs="Times New Roman"/>
          <w:sz w:val="24"/>
          <w:szCs w:val="24"/>
        </w:rPr>
        <w:t xml:space="preserve"> 15/1 (25 Nisan 2025), 335-351. https://doi.org/10.32350/jitc.151.19</w:t>
      </w:r>
    </w:p>
    <w:p w14:paraId="013FBD8F" w14:textId="51AB6917" w:rsidR="00D212EE" w:rsidRPr="003B71D3" w:rsidRDefault="00D212EE" w:rsidP="003B71D3">
      <w:pPr>
        <w:spacing w:line="360" w:lineRule="auto"/>
        <w:jc w:val="both"/>
        <w:rPr>
          <w:rFonts w:asciiTheme="majorBidi" w:hAnsiTheme="majorBidi" w:cstheme="majorBidi"/>
          <w:sz w:val="24"/>
          <w:szCs w:val="24"/>
        </w:rPr>
      </w:pPr>
      <w:r w:rsidRPr="003B71D3">
        <w:rPr>
          <w:rFonts w:asciiTheme="majorBidi" w:hAnsiTheme="majorBidi" w:cstheme="majorBidi"/>
          <w:sz w:val="24"/>
          <w:szCs w:val="24"/>
        </w:rPr>
        <w:fldChar w:fldCharType="end"/>
      </w:r>
    </w:p>
    <w:p w14:paraId="34D080E5" w14:textId="77777777" w:rsidR="009F5A59" w:rsidRPr="00D212EE" w:rsidRDefault="009F5A59" w:rsidP="00511C53">
      <w:pPr>
        <w:spacing w:line="360" w:lineRule="auto"/>
        <w:jc w:val="both"/>
        <w:rPr>
          <w:rFonts w:asciiTheme="majorBidi" w:hAnsiTheme="majorBidi" w:cstheme="majorBidi"/>
          <w:sz w:val="24"/>
          <w:szCs w:val="24"/>
        </w:rPr>
      </w:pPr>
    </w:p>
    <w:p w14:paraId="5E910890" w14:textId="77777777" w:rsidR="009F5A59" w:rsidRPr="00D212EE" w:rsidRDefault="009F5A59" w:rsidP="00FE6A96">
      <w:pPr>
        <w:spacing w:line="360" w:lineRule="auto"/>
        <w:jc w:val="both"/>
        <w:rPr>
          <w:rFonts w:asciiTheme="majorBidi" w:hAnsiTheme="majorBidi" w:cstheme="majorBidi"/>
          <w:sz w:val="24"/>
          <w:szCs w:val="24"/>
        </w:rPr>
      </w:pPr>
    </w:p>
    <w:sectPr w:rsidR="009F5A59" w:rsidRPr="00D212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BDAC" w14:textId="77777777" w:rsidR="005572AE" w:rsidRPr="00C42E6F" w:rsidRDefault="005572AE" w:rsidP="009F5A59">
      <w:pPr>
        <w:spacing w:after="0" w:line="240" w:lineRule="auto"/>
      </w:pPr>
      <w:r w:rsidRPr="00C42E6F">
        <w:separator/>
      </w:r>
    </w:p>
  </w:endnote>
  <w:endnote w:type="continuationSeparator" w:id="0">
    <w:p w14:paraId="7E0936C9" w14:textId="77777777" w:rsidR="005572AE" w:rsidRPr="00C42E6F" w:rsidRDefault="005572AE" w:rsidP="009F5A59">
      <w:pPr>
        <w:spacing w:after="0" w:line="240" w:lineRule="auto"/>
      </w:pPr>
      <w:r w:rsidRPr="00C42E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A83D8" w14:textId="77777777" w:rsidR="005572AE" w:rsidRPr="00C42E6F" w:rsidRDefault="005572AE" w:rsidP="009F5A59">
      <w:pPr>
        <w:spacing w:after="0" w:line="240" w:lineRule="auto"/>
      </w:pPr>
      <w:r w:rsidRPr="00C42E6F">
        <w:separator/>
      </w:r>
    </w:p>
  </w:footnote>
  <w:footnote w:type="continuationSeparator" w:id="0">
    <w:p w14:paraId="2715315C" w14:textId="77777777" w:rsidR="005572AE" w:rsidRPr="00C42E6F" w:rsidRDefault="005572AE" w:rsidP="009F5A59">
      <w:pPr>
        <w:spacing w:after="0" w:line="240" w:lineRule="auto"/>
      </w:pPr>
      <w:r w:rsidRPr="00C42E6F">
        <w:continuationSeparator/>
      </w:r>
    </w:p>
  </w:footnote>
  <w:footnote w:id="1">
    <w:p w14:paraId="32A4C983" w14:textId="5772EA01" w:rsidR="0003170A" w:rsidRPr="003B71D3" w:rsidRDefault="0003170A" w:rsidP="0003170A">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Endonezya’da muhafazakâr anlayışı temsil eden dinî, içtimaî hareket ve teşkilât. </w:t>
      </w:r>
      <w:proofErr w:type="spellStart"/>
      <w:r w:rsidRPr="003B71D3">
        <w:rPr>
          <w:rFonts w:asciiTheme="majorBidi" w:hAnsiTheme="majorBidi" w:cstheme="majorBidi"/>
        </w:rPr>
        <w:t>Nehdatü’l-Ulemâ</w:t>
      </w:r>
      <w:proofErr w:type="spellEnd"/>
      <w:r w:rsidRPr="003B71D3">
        <w:rPr>
          <w:rFonts w:asciiTheme="majorBidi" w:hAnsiTheme="majorBidi" w:cstheme="majorBidi"/>
        </w:rPr>
        <w:t xml:space="preserve"> (Arapça: </w:t>
      </w:r>
      <w:proofErr w:type="spellStart"/>
      <w:r w:rsidRPr="003B71D3">
        <w:rPr>
          <w:rFonts w:asciiTheme="majorBidi" w:hAnsiTheme="majorBidi" w:cstheme="majorBidi"/>
        </w:rPr>
        <w:t>Nahḍatü’l-ʿulemâ</w:t>
      </w:r>
      <w:proofErr w:type="spellEnd"/>
      <w:r w:rsidRPr="003B71D3">
        <w:rPr>
          <w:rFonts w:asciiTheme="majorBidi" w:hAnsiTheme="majorBidi" w:cstheme="majorBidi"/>
        </w:rPr>
        <w:t xml:space="preserve"> / Âlimlerin Uyanışı), Endonezya'da 1926 yılında kurulan ve bugün 90 milyonu aşkın üyesiyle dünyanın en büyük İslami sivil toplum kuruluşu kabul edilen harekettir.</w:t>
      </w:r>
    </w:p>
  </w:footnote>
  <w:footnote w:id="2">
    <w:p w14:paraId="169C003E" w14:textId="2AB7C9AA" w:rsidR="00741410" w:rsidRPr="003B71D3" w:rsidRDefault="00741410" w:rsidP="0074141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Pr="003B71D3">
        <w:rPr>
          <w:rFonts w:asciiTheme="majorBidi" w:hAnsiTheme="majorBidi" w:cstheme="majorBidi"/>
        </w:rPr>
        <w:t>Majelis</w:t>
      </w:r>
      <w:proofErr w:type="spellEnd"/>
      <w:r w:rsidRPr="003B71D3">
        <w:rPr>
          <w:rFonts w:asciiTheme="majorBidi" w:hAnsiTheme="majorBidi" w:cstheme="majorBidi"/>
        </w:rPr>
        <w:t xml:space="preserve"> </w:t>
      </w:r>
      <w:proofErr w:type="spellStart"/>
      <w:r w:rsidRPr="003B71D3">
        <w:rPr>
          <w:rFonts w:asciiTheme="majorBidi" w:hAnsiTheme="majorBidi" w:cstheme="majorBidi"/>
        </w:rPr>
        <w:t>Syuro</w:t>
      </w:r>
      <w:proofErr w:type="spellEnd"/>
      <w:r w:rsidRPr="003B71D3">
        <w:rPr>
          <w:rFonts w:asciiTheme="majorBidi" w:hAnsiTheme="majorBidi" w:cstheme="majorBidi"/>
        </w:rPr>
        <w:t xml:space="preserve"> </w:t>
      </w:r>
      <w:proofErr w:type="spellStart"/>
      <w:r w:rsidRPr="003B71D3">
        <w:rPr>
          <w:rFonts w:asciiTheme="majorBidi" w:hAnsiTheme="majorBidi" w:cstheme="majorBidi"/>
        </w:rPr>
        <w:t>Muslimin</w:t>
      </w:r>
      <w:proofErr w:type="spellEnd"/>
      <w:r w:rsidRPr="003B71D3">
        <w:rPr>
          <w:rFonts w:asciiTheme="majorBidi" w:hAnsiTheme="majorBidi" w:cstheme="majorBidi"/>
        </w:rPr>
        <w:t xml:space="preserve"> </w:t>
      </w:r>
      <w:proofErr w:type="spellStart"/>
      <w:r w:rsidRPr="003B71D3">
        <w:rPr>
          <w:rFonts w:asciiTheme="majorBidi" w:hAnsiTheme="majorBidi" w:cstheme="majorBidi"/>
        </w:rPr>
        <w:t>Indonesia</w:t>
      </w:r>
      <w:proofErr w:type="spellEnd"/>
      <w:r w:rsidRPr="003B71D3">
        <w:rPr>
          <w:rFonts w:asciiTheme="majorBidi" w:hAnsiTheme="majorBidi" w:cstheme="majorBidi"/>
        </w:rPr>
        <w:t xml:space="preserve"> (Meclis-i Şûra-</w:t>
      </w:r>
      <w:proofErr w:type="spellStart"/>
      <w:r w:rsidRPr="003B71D3">
        <w:rPr>
          <w:rFonts w:asciiTheme="majorBidi" w:hAnsiTheme="majorBidi" w:cstheme="majorBidi"/>
        </w:rPr>
        <w:t>yı</w:t>
      </w:r>
      <w:proofErr w:type="spellEnd"/>
      <w:r w:rsidRPr="003B71D3">
        <w:rPr>
          <w:rFonts w:asciiTheme="majorBidi" w:hAnsiTheme="majorBidi" w:cstheme="majorBidi"/>
        </w:rPr>
        <w:t xml:space="preserve"> Müslimin-i Endonezya), daha çok </w:t>
      </w:r>
      <w:proofErr w:type="spellStart"/>
      <w:r w:rsidRPr="003B71D3">
        <w:rPr>
          <w:rFonts w:asciiTheme="majorBidi" w:hAnsiTheme="majorBidi" w:cstheme="majorBidi"/>
        </w:rPr>
        <w:t>Masyumi</w:t>
      </w:r>
      <w:proofErr w:type="spellEnd"/>
      <w:r w:rsidRPr="003B71D3">
        <w:rPr>
          <w:rFonts w:asciiTheme="majorBidi" w:hAnsiTheme="majorBidi" w:cstheme="majorBidi"/>
        </w:rPr>
        <w:t xml:space="preserve"> Partisi veya kısaca </w:t>
      </w:r>
      <w:proofErr w:type="spellStart"/>
      <w:r w:rsidRPr="003B71D3">
        <w:rPr>
          <w:rFonts w:asciiTheme="majorBidi" w:hAnsiTheme="majorBidi" w:cstheme="majorBidi"/>
        </w:rPr>
        <w:t>Masyumi</w:t>
      </w:r>
      <w:proofErr w:type="spellEnd"/>
      <w:r w:rsidRPr="003B71D3">
        <w:rPr>
          <w:rFonts w:asciiTheme="majorBidi" w:hAnsiTheme="majorBidi" w:cstheme="majorBidi"/>
        </w:rPr>
        <w:t xml:space="preserve"> olarak bilinen, 1950'lerin Liberal Demokrasi döneminde Endonezya'daki önemli bir İslami siyasi partiydi. </w:t>
      </w:r>
      <w:proofErr w:type="spellStart"/>
      <w:r w:rsidRPr="003B71D3">
        <w:rPr>
          <w:rFonts w:asciiTheme="majorBidi" w:hAnsiTheme="majorBidi" w:cstheme="majorBidi"/>
        </w:rPr>
        <w:t>Nehdatü’l-Ulemâ</w:t>
      </w:r>
      <w:proofErr w:type="spellEnd"/>
      <w:r w:rsidRPr="003B71D3">
        <w:rPr>
          <w:rFonts w:asciiTheme="majorBidi" w:hAnsiTheme="majorBidi" w:cstheme="majorBidi"/>
        </w:rPr>
        <w:t xml:space="preserve"> ile kıyaslandığında, </w:t>
      </w:r>
      <w:proofErr w:type="spellStart"/>
      <w:r w:rsidRPr="003B71D3">
        <w:rPr>
          <w:rFonts w:asciiTheme="majorBidi" w:hAnsiTheme="majorBidi" w:cstheme="majorBidi"/>
        </w:rPr>
        <w:t>Masyumi</w:t>
      </w:r>
      <w:proofErr w:type="spellEnd"/>
      <w:r w:rsidRPr="003B71D3">
        <w:rPr>
          <w:rFonts w:asciiTheme="majorBidi" w:hAnsiTheme="majorBidi" w:cstheme="majorBidi"/>
        </w:rPr>
        <w:t xml:space="preserve"> "</w:t>
      </w:r>
      <w:proofErr w:type="spellStart"/>
      <w:r w:rsidRPr="003B71D3">
        <w:rPr>
          <w:rFonts w:asciiTheme="majorBidi" w:hAnsiTheme="majorBidi" w:cstheme="majorBidi"/>
        </w:rPr>
        <w:t>modernist</w:t>
      </w:r>
      <w:proofErr w:type="spellEnd"/>
      <w:r w:rsidRPr="003B71D3">
        <w:rPr>
          <w:rFonts w:asciiTheme="majorBidi" w:hAnsiTheme="majorBidi" w:cstheme="majorBidi"/>
        </w:rPr>
        <w:t xml:space="preserve">" bir çizgiyi temsil ederken; </w:t>
      </w:r>
      <w:proofErr w:type="spellStart"/>
      <w:r w:rsidRPr="003B71D3">
        <w:rPr>
          <w:rFonts w:asciiTheme="majorBidi" w:hAnsiTheme="majorBidi" w:cstheme="majorBidi"/>
        </w:rPr>
        <w:t>Nehdatü’l-Ulemâ</w:t>
      </w:r>
      <w:proofErr w:type="spellEnd"/>
      <w:r w:rsidRPr="003B71D3">
        <w:rPr>
          <w:rFonts w:asciiTheme="majorBidi" w:hAnsiTheme="majorBidi" w:cstheme="majorBidi"/>
        </w:rPr>
        <w:t xml:space="preserve">, "gelenekçi" İslam anlayışını temsil eder. </w:t>
      </w:r>
    </w:p>
  </w:footnote>
  <w:footnote w:id="3">
    <w:p w14:paraId="7608112F" w14:textId="049C5993" w:rsidR="00741410" w:rsidRPr="003B71D3" w:rsidRDefault="0074141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Pr="003B71D3">
        <w:rPr>
          <w:rFonts w:asciiTheme="majorBidi" w:hAnsiTheme="majorBidi" w:cstheme="majorBidi"/>
        </w:rPr>
        <w:instrText xml:space="preserve"> ADDIN ZOTERO_ITEM CSL_CITATION {"citationID":"JVigFRBF","properties":{"formattedCitation":"Cynthia Hadita - Muhammad Husni Thamrin, \\uc0\\u8220{}Nurcholish Madjid, Liberation Theology, and the Reconstruction of Islam as a Religion of Humanity: A Contemporary Analysis\\uc0\\u8221{}, {\\i{}Pharos Journal of Theology}, (01 Ocak 2026).","plainCitation":"Cynthia Hadita - Muhammad Husni Thamrin, “Nurcholish Madjid, Liberation Theology, and the Reconstruction of Islam as a Religion of Humanity: A Contemporary Analysis”, Pharos Journal of Theology, (01 Ocak 2026).","noteIndex":3},"citationItems":[{"id":868,"uris":["http://zotero.org/users/local/YjPXotOo/items/JJG6MANP"],"itemData":{"id":868,"type":"article-journal","abstract":"This study scrutinises Nurcholish Madjid’s thought through the prisms of Liberation Theology and the reconstruction of Islam as a religion of humanity, concentrating specifically on inclusive pluralism, substantive democracy, and liberation-oriented pedagogy. Employing a qualitative literature review methodology, the inquiry interrogates recent scholarly discourse and foundational texts germane to Madjid’s work, Liberation Theology, and the evolving contours of contemporary Islamic thought. The analysis unfolds via thematic content analysis, permitting the identification, classification, and synthesis of pivotal motifs such as the doctrinal relocation from theocentrism to anthropocentrism, the reconfiguration of Tawhid within social-justice discourse, the broadening of the term ahl al-kitab, and the repudiation of doctrinal theocracy. Findings indicate that Madjid counsels a shift from theocentrism to anthropocentrism, positing that while affirming divine oneness, Tawhid concurrently repudiates all oppressive dynamics confronting humanity. His discourse underscores the enduring relevance of Qur'anic values as interventions against contemporary exigencies—including structural poverty, social injustice, and the pluralism crisis—while simultaneously positioning education as a conduit for spiritual liberation, the cultivation of critical consciousness, and the nurturing of public morality that liberates religion from political co-optation. The research substantiates Madjid’s stature as a preeminent modern Muslim intellectual who adeptly fused liberation theology, political engagement, and pedagogy, thereby engineering a comprehensive and civilising transformation of society.","container-title":"Pharos Journal of Theology","DOI":"10.46222/pharosjot.107.24","ISSN":"1018-9556, 2414-3324","language":"en","license":"https://creativecommons.org/licenses/by-nc-nd/4.0/","source":"DOI.org (Crossref)","title":"Nurcholish Madjid, Liberation Theology, and the Reconstruction of Islam as a Religion of Humanity: A Contemporary Analysis","title-short":"Nurcholish Madjid, Liberation Theology, and the Reconstruction of Islam as a Religion of Humanity","URL":"https://www.pharosjot.com/uploads/7/1/6/3/7163688/article_24_107_1__2026_january_issue.pdf","author":[{"family":"Hadita","given":"Cynthia"},{"family":"Thamrin","given":"Muhammad Husni"}],"accessed":{"date-parts":[["2026",1,6]]},"issued":{"date-parts":[["2026",1,1]]}}}],"schema":"https://github.com/citation-style-language/schema/raw/master/csl-citation.json"}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Cynthia Hadita - Muhammad Husni Thamrin, “Nurcholish Madjid, Liberation Theology, and the Reconstruction of Islam as a Religion of Humanity: A Contemporary Analysis”, </w:t>
      </w:r>
      <w:r w:rsidRPr="003B71D3">
        <w:rPr>
          <w:rFonts w:asciiTheme="majorBidi" w:hAnsiTheme="majorBidi" w:cstheme="majorBidi"/>
          <w:i/>
          <w:iCs/>
          <w:kern w:val="0"/>
        </w:rPr>
        <w:t>Pharos Journal of Theology</w:t>
      </w:r>
      <w:r w:rsidRPr="003B71D3">
        <w:rPr>
          <w:rFonts w:asciiTheme="majorBidi" w:hAnsiTheme="majorBidi" w:cstheme="majorBidi"/>
          <w:kern w:val="0"/>
        </w:rPr>
        <w:t>, (01 Ocak 2026), s.9-10.</w:t>
      </w:r>
      <w:r w:rsidRPr="003B71D3">
        <w:rPr>
          <w:rFonts w:asciiTheme="majorBidi" w:hAnsiTheme="majorBidi" w:cstheme="majorBidi"/>
        </w:rPr>
        <w:fldChar w:fldCharType="end"/>
      </w:r>
    </w:p>
  </w:footnote>
  <w:footnote w:id="4">
    <w:p w14:paraId="1C291726" w14:textId="1A4AE397" w:rsidR="009F5A59" w:rsidRPr="003B71D3" w:rsidRDefault="009F5A5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Ulusun öğretmeni anlamına geliyor</w:t>
      </w:r>
    </w:p>
  </w:footnote>
  <w:footnote w:id="5">
    <w:p w14:paraId="47B5DA15" w14:textId="3CF50BB7" w:rsidR="009F5A59" w:rsidRPr="003B71D3" w:rsidRDefault="009F5A5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İslami yatılı okul/medrese</w:t>
      </w:r>
    </w:p>
  </w:footnote>
  <w:footnote w:id="6">
    <w:p w14:paraId="464AFFD2" w14:textId="757B0022" w:rsidR="009F5A59" w:rsidRPr="003B71D3" w:rsidRDefault="009F5A5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Pr="003B71D3">
        <w:rPr>
          <w:rFonts w:asciiTheme="majorBidi" w:hAnsiTheme="majorBidi" w:cstheme="majorBidi"/>
        </w:rPr>
        <w:t>Ustad</w:t>
      </w:r>
      <w:proofErr w:type="spellEnd"/>
      <w:r w:rsidRPr="003B71D3">
        <w:rPr>
          <w:rFonts w:asciiTheme="majorBidi" w:hAnsiTheme="majorBidi" w:cstheme="majorBidi"/>
        </w:rPr>
        <w:t xml:space="preserve"> de deniyor. </w:t>
      </w:r>
      <w:r w:rsidR="00245B40" w:rsidRPr="003B71D3">
        <w:rPr>
          <w:rFonts w:asciiTheme="majorBidi" w:hAnsiTheme="majorBidi" w:cstheme="majorBidi"/>
        </w:rPr>
        <w:t>İslami</w:t>
      </w:r>
      <w:r w:rsidRPr="003B71D3">
        <w:rPr>
          <w:rFonts w:asciiTheme="majorBidi" w:hAnsiTheme="majorBidi" w:cstheme="majorBidi"/>
        </w:rPr>
        <w:t xml:space="preserve"> </w:t>
      </w:r>
      <w:r w:rsidR="00245B40" w:rsidRPr="003B71D3">
        <w:rPr>
          <w:rFonts w:asciiTheme="majorBidi" w:hAnsiTheme="majorBidi" w:cstheme="majorBidi"/>
        </w:rPr>
        <w:t xml:space="preserve">ilimleri </w:t>
      </w:r>
      <w:r w:rsidRPr="003B71D3">
        <w:rPr>
          <w:rFonts w:asciiTheme="majorBidi" w:hAnsiTheme="majorBidi" w:cstheme="majorBidi"/>
        </w:rPr>
        <w:t>iyi bilen bir hoca</w:t>
      </w:r>
    </w:p>
  </w:footnote>
  <w:footnote w:id="7">
    <w:p w14:paraId="42272C06" w14:textId="188C6C60" w:rsidR="00B30D75" w:rsidRPr="003B71D3" w:rsidRDefault="00B30D7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{"citationID":"05Aq7z1p","properties":{"formattedCitation":"Dian vd., \\uc0\\u8220{}Nurcholish Madjid\\uc0\\u8217{}s Perspective About Thought of Religious Pluralism\\uc0\\u8221{}, {\\i{}Munaddhomah: Jurnal Manajemen Pendidikan Islam} 3/2 (18 Aral\\uc0\\u305{}k 2022), 139-148; \\uc0\\u304{}SMA\\uc0\\u304{}L HAKKI G\\uc0\\u214{}KSOY, \\uc0\\u8220{}NURH\\uc0\\u194{}L\\uc0\\u304{}S M\\uc0\\u194{}C\\uc0\\u304{}D\\uc0\\u8221{}, {\\i{}TDV \\uc0\\u304{}sl\\uc0\\u226{}m Ansiklopedisi}, 2019.","plainCitation":"Dian vd., “Nurcholish Madjid’s Perspective About Thought of Religious Pluralism”, Munaddhomah: Jurnal Manajemen Pendidikan Islam 3/2 (18 Aralık 2022), 139-148; İSMAİL HAKKI GÖKSOY, “NURHÂLİS MÂCİD”, TDV İslâm Ansiklopedisi, 2019.","dontUpdate":true,"noteIndex":7},"citationItems":[{"id":869,"uris":["http://zotero.org/users/local/YjPXotOo/items/4JZCRAZV"],"itemData":{"id":869,"type":"article-journal","abstract":"One of the modern Islamic reformers in Indonesia is Nurcholish Madjid. The focus of this research is to find out the style of thought of Nurcholis Madjid regarding religious pluralism. The aims of this study are to (1) describe the style of Nurcholis Madjid’s thought related to religious pluralism, (2) open new insights regarding modern Islamic views, and (3) describe the contributions and controversies of Nurcholis Madjid’s thoughts regarding religious pluralism. This study uses a descriptive-comparative research approach. The results of this study indicate that there are three thoughts of Nurcholis Madjid about religious pluralism. First, according to him, religious pluralism is an understanding that recognizes the existence of other religions and is mature in dealing with diversity. Second, Nurcholish Madjid's idea of religious pluralism is a religious principle that recognizes freedom of religion, living with risks that will be borne by each believer. Third, according to Nurcholish Madjid, religious pluralism in Islam is not based on the doctrine of assuming that all religions are true. Still, Islam only recognises the extent of each individual's right to exist in harmony with the freedom to practice their respective religions to realize a tolerant life in Indonesia.","container-title":"Munaddhomah: Jurnal Manajemen Pendidikan Islam","issue":"2","journalAbbreviation":"Munaddhomah","language":"en","page":"139-148","title":"Nurcholish Madjid’s Perspective About Thought of Religious Pluralism","volume":"3","author":[{"literal":"Dian"},{"family":"Masripah","given":"Imas"},{"family":"Purwandani","given":"Dela"},{"family":"Maliki","given":"Deagi Nur Mohamad"},{"family":"Pane","given":"Fadhilah Anggraini"}],"issued":{"date-parts":[["2022",12,18]]}}},{"id":890,"uris":["http://zotero.org/users/local/YjPXotOo/items/XWD4H6XK"],"itemData":{"id":890,"type":"entry-encyclopedia","container-title":"TDV İslâm Ansiklopedisi","title":"NURHÂLİS MÂCİD","URL":"https://islamansiklopedisi.org.tr/nurhalis-macid","author":[{"family":"GÖKSOY","given":"İSMAİL HAKKI"}],"issued":{"date-parts":[["2019"]]}}}],"schema":"https://github.com/citation-style-language/schema/raw/master/csl-citation.json"} </w:instrText>
      </w:r>
      <w:r w:rsidRPr="003B71D3">
        <w:rPr>
          <w:rFonts w:asciiTheme="majorBidi" w:hAnsiTheme="majorBidi" w:cstheme="majorBidi"/>
        </w:rPr>
        <w:fldChar w:fldCharType="separate"/>
      </w:r>
      <w:r w:rsidR="00DF6C57" w:rsidRPr="003B71D3">
        <w:rPr>
          <w:rFonts w:asciiTheme="majorBidi" w:hAnsiTheme="majorBidi" w:cstheme="majorBidi"/>
          <w:kern w:val="0"/>
        </w:rPr>
        <w:t xml:space="preserve">Dian vd., “Nurcholish Madjid’s Perspective About Thought of Religious Pluralism”, </w:t>
      </w:r>
      <w:r w:rsidR="00DF6C57" w:rsidRPr="003B71D3">
        <w:rPr>
          <w:rFonts w:asciiTheme="majorBidi" w:hAnsiTheme="majorBidi" w:cstheme="majorBidi"/>
          <w:i/>
          <w:iCs/>
          <w:kern w:val="0"/>
        </w:rPr>
        <w:t>Munaddhomah: Jurnal Manajemen Pendidikan Islam</w:t>
      </w:r>
      <w:r w:rsidR="00DF6C57" w:rsidRPr="003B71D3">
        <w:rPr>
          <w:rFonts w:asciiTheme="majorBidi" w:hAnsiTheme="majorBidi" w:cstheme="majorBidi"/>
          <w:kern w:val="0"/>
        </w:rPr>
        <w:t xml:space="preserve"> 3/2 (18 Aralık 2022), 139-148, s.141; İSMAİL HAKKI GÖKSOY, “NURHÂLİS MÂCİD”, </w:t>
      </w:r>
      <w:r w:rsidR="00DF6C57" w:rsidRPr="003B71D3">
        <w:rPr>
          <w:rFonts w:asciiTheme="majorBidi" w:hAnsiTheme="majorBidi" w:cstheme="majorBidi"/>
          <w:i/>
          <w:iCs/>
          <w:kern w:val="0"/>
        </w:rPr>
        <w:t>TDV İslâm Ansiklopedisi</w:t>
      </w:r>
      <w:r w:rsidR="00DF6C57" w:rsidRPr="003B71D3">
        <w:rPr>
          <w:rFonts w:asciiTheme="majorBidi" w:hAnsiTheme="majorBidi" w:cstheme="majorBidi"/>
          <w:kern w:val="0"/>
        </w:rPr>
        <w:t>, 2019.</w:t>
      </w:r>
      <w:r w:rsidRPr="003B71D3">
        <w:rPr>
          <w:rFonts w:asciiTheme="majorBidi" w:hAnsiTheme="majorBidi" w:cstheme="majorBidi"/>
        </w:rPr>
        <w:fldChar w:fldCharType="end"/>
      </w:r>
    </w:p>
  </w:footnote>
  <w:footnote w:id="8">
    <w:p w14:paraId="0F9444A0" w14:textId="016E5C52" w:rsidR="00B30D75" w:rsidRPr="003B71D3" w:rsidRDefault="00B30D7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{"citationID":"z3HiXWRm","properties":{"formattedCitation":"Greg Barton, \\uc0\\u8220{}Indonesia\\uc0\\u8217{}s Nurcholish Madjid And Abdurrahman Wahid As Intellectual \\uc0\\u8217{}Ulama\\uc0\\u8217{}: The Meeting Of Islamic Traditionalism And Modernism In Neo-Modernist Thought\\uc0\\u8221{}, {\\i{}Studia Islamika: Indonesian Journal for Islamic Sciences} 4/1 (01 Ocak 1997), 29-81.","plainCitation":"Greg Barton, “Indonesia’s Nurcholish Madjid And Abdurrahman Wahid As Intellectual ’Ulama’: The Meeting Of Islamic Traditionalism And Modernism In Neo-Modernist Thought”, Studia Islamika: Indonesian Journal for Islamic Sciences 4/1 (01 Ocak 1997), 29-81.","dontUpdate":true,"noteIndex":8},"citationItems":[{"id":860,"uris":["http://zotero.org/users/local/YjPXotOo/items/2SUFBKC8"],"itemData":{"id":860,"type":"article-journal","container-title":"Studia Islamika: Indonesian Journal for Islamic Sciences","issue":"1","journalAbbreviation":"Studia Islamika","language":"en","page":"29-81","source":"Zotero","title":"Indonesia’s Nurcholish Madjid And Abdurrahman Wahid As Intellectual ’Ulama': The Meeting Of Islamic Traditionalism And Modernism In Neo-Modernist Thought","title-short":"Indonesia’s Nurcholish Madjid And Abdurrahman Wahid As Intellectual ’Ulama'","volume":"4","author":[{"family":"Barton","given":"Greg"}],"issued":{"date-parts":[["1997",1,1]]}}}],"schema":"https://github.com/citation-style-language/schema/raw/master/csl-citation.json"}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Greg Barton, “Indonesia’s Nurcholish Madjid And Abdurrahman Wahid As Intellectual ’Ulama’: The Meeting Of Islamic Traditionalism And Modernism In Neo-Modernist Thought”, </w:t>
      </w:r>
      <w:r w:rsidRPr="003B71D3">
        <w:rPr>
          <w:rFonts w:asciiTheme="majorBidi" w:hAnsiTheme="majorBidi" w:cstheme="majorBidi"/>
          <w:i/>
          <w:iCs/>
          <w:kern w:val="0"/>
        </w:rPr>
        <w:t>Studia Islamika: Indonesian Journal for Islamic Sciences</w:t>
      </w:r>
      <w:r w:rsidRPr="003B71D3">
        <w:rPr>
          <w:rFonts w:asciiTheme="majorBidi" w:hAnsiTheme="majorBidi" w:cstheme="majorBidi"/>
          <w:kern w:val="0"/>
        </w:rPr>
        <w:t xml:space="preserve"> 4/1 (01 Ocak 1997), 29-81</w:t>
      </w:r>
      <w:r w:rsidR="00DF6C57" w:rsidRPr="003B71D3">
        <w:rPr>
          <w:rFonts w:asciiTheme="majorBidi" w:hAnsiTheme="majorBidi" w:cstheme="majorBidi"/>
          <w:kern w:val="0"/>
        </w:rPr>
        <w:t>, s.46</w:t>
      </w:r>
      <w:r w:rsidRPr="003B71D3">
        <w:rPr>
          <w:rFonts w:asciiTheme="majorBidi" w:hAnsiTheme="majorBidi" w:cstheme="majorBidi"/>
          <w:kern w:val="0"/>
        </w:rPr>
        <w:t>.</w:t>
      </w:r>
      <w:r w:rsidRPr="003B71D3">
        <w:rPr>
          <w:rFonts w:asciiTheme="majorBidi" w:hAnsiTheme="majorBidi" w:cstheme="majorBidi"/>
        </w:rPr>
        <w:fldChar w:fldCharType="end"/>
      </w:r>
    </w:p>
  </w:footnote>
  <w:footnote w:id="9">
    <w:p w14:paraId="06609277" w14:textId="116E162F" w:rsidR="00B30D75" w:rsidRPr="003B71D3" w:rsidRDefault="00B30D75" w:rsidP="00B30D7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IAIN: Devlet İslam Dini Enstitüsü</w:t>
      </w:r>
    </w:p>
  </w:footnote>
  <w:footnote w:id="10">
    <w:p w14:paraId="156A565C" w14:textId="25CAEAA0" w:rsidR="009351BA" w:rsidRPr="003B71D3" w:rsidRDefault="009351BA">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{"citationID":"ISUoLLtd","properties":{"formattedCitation":"Barton, \\uc0\\u8220{}Indonesia\\uc0\\u8217{}s Nurcholish Madjid And Abdurrahman Wahid As Intellectual \\uc0\\u8217{}Ulama\\uc0\\u8217{}\\uc0\\u8221{}.","plainCitation":"Barton, “Indonesia’s Nurcholish Madjid And Abdurrahman Wahid As Intellectual ’Ulama’”.","dontUpdate":true,"noteIndex":10},"citationItems":[{"id":860,"uris":["http://zotero.org/users/local/YjPXotOo/items/2SUFBKC8"],"itemData":{"id":860,"type":"article-journal","container-title":"Studia Islamika: Indonesian Journal for Islamic Sciences","issue":"1","journalAbbreviation":"Studia Islamika","language":"en","page":"29-81","source":"Zotero","title":"Indonesia’s Nurcholish Madjid And Abdurrahman Wahid As Intellectual ’Ulama': The Meeting Of Islamic Traditionalism And Modernism In Neo-Modernist Thought","title-short":"Indonesia’s Nurcholish Madjid And Abdurrahman Wahid As Intellectual ’Ulama'","volume":"4","author":[{"family":"Barton","given":"Greg"}],"issued":{"date-parts":[["1997",1,1]]}}}],"schema":"https://github.com/citation-style-language/schema/raw/master/csl-citation.json"}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Barton, “Indonesia’s Nurcholish Madjid And Abdurrahman Wahid As Intellectual ’Ulama’”</w:t>
      </w:r>
      <w:r w:rsidR="003D18C5" w:rsidRPr="003B71D3">
        <w:rPr>
          <w:rFonts w:asciiTheme="majorBidi" w:hAnsiTheme="majorBidi" w:cstheme="majorBidi"/>
          <w:kern w:val="0"/>
        </w:rPr>
        <w:t>, s.50</w:t>
      </w:r>
      <w:r w:rsidRPr="003B71D3">
        <w:rPr>
          <w:rFonts w:asciiTheme="majorBidi" w:hAnsiTheme="majorBidi" w:cstheme="majorBidi"/>
          <w:kern w:val="0"/>
        </w:rPr>
        <w:t>.</w:t>
      </w:r>
      <w:r w:rsidRPr="003B71D3">
        <w:rPr>
          <w:rFonts w:asciiTheme="majorBidi" w:hAnsiTheme="majorBidi" w:cstheme="majorBidi"/>
        </w:rPr>
        <w:fldChar w:fldCharType="end"/>
      </w:r>
    </w:p>
  </w:footnote>
  <w:footnote w:id="11">
    <w:p w14:paraId="5D5857B3" w14:textId="521122B6" w:rsidR="009351BA" w:rsidRPr="003B71D3" w:rsidRDefault="009351BA">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İslam Öğrenci Birliği: </w:t>
      </w:r>
      <w:r w:rsidR="00E23184" w:rsidRPr="003B71D3">
        <w:rPr>
          <w:rFonts w:asciiTheme="majorBidi" w:hAnsiTheme="majorBidi" w:cstheme="majorBidi"/>
        </w:rPr>
        <w:t>Endonezya'nın en büyük İslami öğrenci örgütü</w:t>
      </w:r>
    </w:p>
  </w:footnote>
  <w:footnote w:id="12">
    <w:p w14:paraId="68A401E8" w14:textId="2290A0A5" w:rsidR="00CB537B" w:rsidRPr="003B71D3" w:rsidRDefault="00CB537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Güneydoğu Asya İslam Öğrenci Birliği</w:t>
      </w:r>
    </w:p>
  </w:footnote>
  <w:footnote w:id="13">
    <w:p w14:paraId="25733778" w14:textId="23C3C58C" w:rsidR="00CB537B" w:rsidRPr="003B71D3" w:rsidRDefault="00CB537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Uluslararası İslam Öğrenci Kuruluşları Federasyonu</w:t>
      </w:r>
    </w:p>
  </w:footnote>
  <w:footnote w:id="14">
    <w:p w14:paraId="5F769F95" w14:textId="53E8D540" w:rsidR="00CA65E7" w:rsidRPr="003B71D3" w:rsidRDefault="00CA65E7">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Endonezya Bilimler Enstitüsü</w:t>
      </w:r>
    </w:p>
  </w:footnote>
  <w:footnote w:id="15">
    <w:p w14:paraId="32A38717" w14:textId="119E98FA" w:rsidR="00D91EC5" w:rsidRPr="003B71D3" w:rsidRDefault="00D91EC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{"citationID":"VUDZGm3f","properties":{"formattedCitation":"Anthony H. Johns - Abdullah Saeed, \\uc0\\u8220{}Nurcholish Madjid and the Interpretation of the Qur\\uc0\\u8217{}an: Religious Pluralism and Tolerance\\uc0\\u8221{}, {\\i{}Modern Muslim Intellectuals and the Qur\\uc0\\u8217{}an} (London: Oxford University Press, 2006), 67-96.","plainCitation":"Anthony H. Johns - Abdullah Saeed, “Nurcholish Madjid and the Interpretation of the Qur’an: Religious Pluralism and Tolerance”, Modern Muslim Intellectuals and the Qur’an (London: Oxford University Press, 2006), 67-96.","dontUpdate":true,"noteIndex":15},"citationItems":[{"id":866,"uris":["http://zotero.org/users/local/YjPXotOo/items/TZBPFQTF"],"itemData":{"id":866,"type":"chapter","container-title":"Modern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Anthony H. Johns - Abdullah Saeed, “Nurcholish Madjid and the Interpretation of the Qur’an: Religious Pluralism and Tolerance”, </w:t>
      </w:r>
      <w:r w:rsidRPr="003B71D3">
        <w:rPr>
          <w:rFonts w:asciiTheme="majorBidi" w:hAnsiTheme="majorBidi" w:cstheme="majorBidi"/>
          <w:i/>
          <w:iCs/>
          <w:kern w:val="0"/>
        </w:rPr>
        <w:t>Modern Muslim Intellectuals and the Qur’an</w:t>
      </w:r>
      <w:r w:rsidRPr="003B71D3">
        <w:rPr>
          <w:rFonts w:asciiTheme="majorBidi" w:hAnsiTheme="majorBidi" w:cstheme="majorBidi"/>
          <w:kern w:val="0"/>
        </w:rPr>
        <w:t xml:space="preserve"> (London: Oxford University Press, 2006), 67-96</w:t>
      </w:r>
      <w:r w:rsidR="00D658F2" w:rsidRPr="003B71D3">
        <w:rPr>
          <w:rFonts w:asciiTheme="majorBidi" w:hAnsiTheme="majorBidi" w:cstheme="majorBidi"/>
          <w:kern w:val="0"/>
        </w:rPr>
        <w:t>, s.70</w:t>
      </w:r>
      <w:r w:rsidRPr="003B71D3">
        <w:rPr>
          <w:rFonts w:asciiTheme="majorBidi" w:hAnsiTheme="majorBidi" w:cstheme="majorBidi"/>
          <w:kern w:val="0"/>
        </w:rPr>
        <w:t>.</w:t>
      </w:r>
      <w:r w:rsidRPr="003B71D3">
        <w:rPr>
          <w:rFonts w:asciiTheme="majorBidi" w:hAnsiTheme="majorBidi" w:cstheme="majorBidi"/>
        </w:rPr>
        <w:fldChar w:fldCharType="end"/>
      </w:r>
    </w:p>
  </w:footnote>
  <w:footnote w:id="16">
    <w:p w14:paraId="4700FBF9" w14:textId="717246FC" w:rsidR="00380191" w:rsidRPr="003B71D3" w:rsidRDefault="00380191">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{"citationID":"C3j08nkM","properties":{"formattedCitation":"Andi Faisal Bakti, \\uc0\\u8220{}Islam and Modernity: Nurcholish Madjid\\uc0\\u8217{}s Interpretation of Civil Society, Pluralism, Secularization, and Democracy\\uc0\\u8221{}, {\\i{}Asian Journal of Social Science} 33/3 (2005), 486-505.","plainCitation":"Andi Faisal Bakti, “Islam and Modernity: Nurcholish Madjid’s Interpretation of Civil Society, Pluralism, Secularization, and Democracy”, Asian Journal of Social Science 33/3 (2005), 486-505.","dontUpdate":true,"noteIndex":16},"citationItems":[{"id":863,"uris":["http://zotero.org/users/local/YjPXotOo/items/X35BLGXL"],"itemData":{"id":863,"type":"article-journal","abstract":"Abstract\n              Debates on the applicability of the \"modern\" Western concepts of civil society, pluralism, secularization and democracy, together with Islam, significantly developed since the 1970s in Indonesia, in particular since the emergence of Nurcholish Madjid (hereafter Madjid). By the end of the 1980s, the Paramadina Foundation, which was established in 1986 by Madjid, among others, increasingly attracted higher middle-class individuals who claimed to adopt a progressive and open approach to Islam. Through Paramadina, Madjid, among others, developed his own idea of civil society. He is one of the most obvious champions of \"neo-modernism\" in Indonesia, as these ideas of both \"modernism\" and \"traditionalism\" are combined when they are relevant and suitable for society. The question addressed here is how Madjid interprets the concepts of civil society, pluralism, secularization and democracy as his main discourses? In other words, how does Madjid define and pave the way for Islamic development in Indonesia? What approaches does he use? While the concepts developed in Paramadina are basically inclusivism, pluralism, integralism, tolerance and democracy, on the way to achieving masyarakat madani (the Indonesian translation of civil society as adopted by Madjid), it seems that Madjid falls short of promoting local and global human values, international relations and communication. In fact, he adopts a cultural and nationalistic approach within the framework of Indonesian nationalism, which could lead to cultural crystallisation, particularism, localism and, eventually, atavism. These factors, however, if given a humanistic and global flavour — as set forward by the communication approach to human development — could indeed contribute to the emancipation of local citizens, from a parochial and centralized nationalism adhered to today by many Indonesian leaders. Thus, thinking globally and acting locally could be a liberating force for all.","container-title":"Asian Journal of Social Science","issue":"3","journalAbbreviation":"Asian J Soc Sci","language":"en","page":"486-505","source":"DOI.org (Crossref)","title":"Islam and Modernity: Nurcholish Madjid's Interpretation of Civil Society, Pluralism, Secularization, and Democracy","title-short":"Islam and Modernity","volume":"33","author":[{"family":"Bakti","given":"Andi Faisal"}],"issued":{"date-parts":[["2005"]]}}}],"schema":"https://github.com/citation-style-language/schema/raw/master/csl-citation.json"}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Andi Faisal Bakti, “Islam and Modernity: Nurcholish Madjid’s Interpretation of Civil Society, Pluralism, Secularization, and Democracy”, </w:t>
      </w:r>
      <w:r w:rsidRPr="003B71D3">
        <w:rPr>
          <w:rFonts w:asciiTheme="majorBidi" w:hAnsiTheme="majorBidi" w:cstheme="majorBidi"/>
          <w:i/>
          <w:iCs/>
          <w:kern w:val="0"/>
        </w:rPr>
        <w:t>Asian Journal of Social Science</w:t>
      </w:r>
      <w:r w:rsidRPr="003B71D3">
        <w:rPr>
          <w:rFonts w:asciiTheme="majorBidi" w:hAnsiTheme="majorBidi" w:cstheme="majorBidi"/>
          <w:kern w:val="0"/>
        </w:rPr>
        <w:t xml:space="preserve"> 33/3 (2005), 486-505</w:t>
      </w:r>
      <w:r w:rsidR="00D658F2" w:rsidRPr="003B71D3">
        <w:rPr>
          <w:rFonts w:asciiTheme="majorBidi" w:hAnsiTheme="majorBidi" w:cstheme="majorBidi"/>
          <w:kern w:val="0"/>
        </w:rPr>
        <w:t>, s.488</w:t>
      </w:r>
      <w:r w:rsidRPr="003B71D3">
        <w:rPr>
          <w:rFonts w:asciiTheme="majorBidi" w:hAnsiTheme="majorBidi" w:cstheme="majorBidi"/>
          <w:kern w:val="0"/>
        </w:rPr>
        <w:t>.</w:t>
      </w:r>
      <w:r w:rsidRPr="003B71D3">
        <w:rPr>
          <w:rFonts w:asciiTheme="majorBidi" w:hAnsiTheme="majorBidi" w:cstheme="majorBidi"/>
        </w:rPr>
        <w:fldChar w:fldCharType="end"/>
      </w:r>
    </w:p>
  </w:footnote>
  <w:footnote w:id="17">
    <w:p w14:paraId="3E19C136" w14:textId="08891EED" w:rsidR="00D658F2" w:rsidRPr="003B71D3" w:rsidRDefault="00D658F2">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{"citationID":"lmyO0BuR","properties":{"formattedCitation":"G\\uc0\\u214{}KSOY, \\uc0\\u8220{}NURH\\uc0\\u194{}L\\uc0\\u304{}S M\\uc0\\u194{}C\\uc0\\u304{}D\\uc0\\u8221{}.","plainCitation":"GÖKSOY, “NURHÂLİS MÂCİD”.","noteIndex":17},"citationItems":[{"id":890,"uris":["http://zotero.org/users/local/YjPXotOo/items/XWD4H6XK"],"itemData":{"id":890,"type":"entry-encyclopedia","container-title":"TDV İslâm Ansiklopedisi","title":"NURHÂLİS MÂCİD","URL":"https://islamansiklopedisi.org.tr/nurhalis-macid","author":[{"family":"GÖKSOY","given":"İSMAİL HAKKI"}],"issued":{"date-parts":[["2019"]]}}}],"schema":"https://github.com/citation-style-language/schema/raw/master/csl-citation.json"} </w:instrText>
      </w:r>
      <w:r w:rsidRPr="003B71D3">
        <w:rPr>
          <w:rFonts w:asciiTheme="majorBidi" w:hAnsiTheme="majorBidi" w:cstheme="majorBidi"/>
        </w:rPr>
        <w:fldChar w:fldCharType="separate"/>
      </w:r>
      <w:r w:rsidR="00DF6C57" w:rsidRPr="003B71D3">
        <w:rPr>
          <w:rFonts w:asciiTheme="majorBidi" w:hAnsiTheme="majorBidi" w:cstheme="majorBidi"/>
          <w:kern w:val="0"/>
        </w:rPr>
        <w:t>GÖKSOY, “NURHÂLİS MÂCİD”.</w:t>
      </w:r>
      <w:r w:rsidRPr="003B71D3">
        <w:rPr>
          <w:rFonts w:asciiTheme="majorBidi" w:hAnsiTheme="majorBidi" w:cstheme="majorBidi"/>
        </w:rPr>
        <w:fldChar w:fldCharType="end"/>
      </w:r>
    </w:p>
  </w:footnote>
  <w:footnote w:id="18">
    <w:p w14:paraId="5317A27D" w14:textId="150ADE70" w:rsidR="00CD2C76" w:rsidRPr="003B71D3" w:rsidRDefault="00CD2C76">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{"citationID":"6IbxODWQ","properties":{"formattedCitation":"Ismail Suardi Wekke, \\uc0\\u8220{}Fazlur Rahman and His Enduring Legacy for Indonesian Islamic Scholarship\\uc0\\u8221{} 3/1 (2025).","plainCitation":"Ismail Suardi Wekke, “Fazlur Rahman and His Enduring Legacy for Indonesian Islamic Scholarship” 3/1 (2025).","dontUpdate":true,"noteIndex":18},"citationItems":[{"id":858,"uris":["http://zotero.org/users/local/YjPXotOo/items/C7LLUJRK"],"itemData":{"id":858,"type":"article-journal","abstract":"This article examines Fazlur Rahman's intellectual legacy and its influence on the development of Islamic thought in Indonesia. Rahman, with his neo-modernist approach, offered a \"double movement\"-based method of Qur'anic interpretation that emphasizes the importance of historical context and its application in the present. This study uses a qualitative approach with literature analysis, highlighting how Rahman's ideas spread to Indonesia through student networks, his works, and his direct interactions with Indonesian intellectuals. This article also documents Rahman's influence on major figures such as Nurcholish Madjid, Abdurrahman Wahid, Ahmad Syafii Maarif, and Amien Rais, as well as his contribution to the reform of Islamic education in Indonesia. The findings show that Rahman's ideas on contextual interpretation, educational reform, and the development of critical thinking have played a major role in driving the intellectual dynamics of Indonesian Islam, although they have also faced criticism and challenges in their application.","issue":"1","language":"en","source":"Zotero","title":"Fazlur Rahman and His Enduring Legacy for Indonesian Islamic Scholarship","volume":"3","author":[{"family":"Wekke","given":"Ismail Suardi"}],"issued":{"date-parts":[["2025"]]}}}],"schema":"https://github.com/citation-style-language/schema/raw/master/csl-citation.json"}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Ismail Suardi Wekke, “Fazlur Rahman and His Enduring Legacy for Indonesian Islamic Scholarship” 3/1 (2025)</w:t>
      </w:r>
      <w:r w:rsidR="00E4684E" w:rsidRPr="003B71D3">
        <w:rPr>
          <w:rFonts w:asciiTheme="majorBidi" w:hAnsiTheme="majorBidi" w:cstheme="majorBidi"/>
          <w:kern w:val="0"/>
        </w:rPr>
        <w:t>, s.4</w:t>
      </w:r>
      <w:r w:rsidRPr="003B71D3">
        <w:rPr>
          <w:rFonts w:asciiTheme="majorBidi" w:hAnsiTheme="majorBidi" w:cstheme="majorBidi"/>
          <w:kern w:val="0"/>
        </w:rPr>
        <w:t>.</w:t>
      </w:r>
      <w:r w:rsidRPr="003B71D3">
        <w:rPr>
          <w:rFonts w:asciiTheme="majorBidi" w:hAnsiTheme="majorBidi" w:cstheme="majorBidi"/>
        </w:rPr>
        <w:fldChar w:fldCharType="end"/>
      </w:r>
    </w:p>
  </w:footnote>
  <w:footnote w:id="19">
    <w:p w14:paraId="135D2ABB" w14:textId="35DEBCD9" w:rsidR="00893ADB" w:rsidRPr="003B71D3" w:rsidRDefault="00893AD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{"citationID":"uh0To3Os","properties":{"formattedCitation":"Ahmad Hasan Ridwan vd., \\uc0\\u8220{}Implementing and Interpreting Fazlur Rahman\\uc0\\u8217{}s Islamic Moderation Concept in the Indonesian Context\\uc0\\u8221{}, {\\i{}Journal of Islamic Thought and Civilization} 12/2 (11 Kas\\uc0\\u305{}m 2022), 58-73.","plainCitation":"Ahmad Hasan Ridwan vd., “Implementing and Interpreting Fazlur Rahman’s Islamic Moderation Concept in the Indonesian Context”, Journal of Islamic Thought and Civilization 12/2 (11 Kasım 2022), 58-73.","dontUpdate":true,"noteIndex":19},"citationItems":[{"id":872,"uris":["http://zotero.org/users/local/YjPXotOo/items/VQ9Z6HN9"],"itemData":{"id":872,"type":"article-journal","abstract":"Although, Indonesians are known as the most ‘tolerant’ nation but the radical turn of events over the period of time has transformed their religious tolerance into extremism. Therefore, several movements have started to alter Indonesia's Islamic model into a one more compatible with that of the Arab world. These are not social conflicts but could become reason of provoking different social conflicts. It has been claimed that these social conflicts occur because Indonesia has followed westernization, Christianization, secularism, liberalism and the unfair attitude of the West in the Middle East conflicts, especially between Palestine and Israel. The majority of Indonesians are Muslims therefore, democratization is studied thoroughly using a religious moderation theory in the context of Islamic religion and religious doctrine This study aims to discuss Fazlur Rahman's double movement hermeneutics as an Islamic moderation concept by using Qur’anic references. This moderation concept could be applied to the Indonesian context. A bibliographical survey and an interpretive method have been employed to reveal a specific nature of religious moderation, which prohibits Muslims from taking an extreme stance about religious provisions. Moderation is not limited to religious attitudes but includes all aspects of life. Therefore, this study implicates that if Fazlur Rehman’s Islamic moderation concepts are practiced comprehensively in Indonesia then social harmony would prevail as a social phenomenon.","container-title":"Journal of Islamic Thought and Civilization","DOI":"10.32350/jitc.122.05","ISSN":"2520-0313, 2075-0943","issue":"2","journalAbbreviation":"JITC","language":"en","license":"https://creativecommons.org/licenses/by/4.0","page":"58-73","source":"DOI.org (Crossref)","title":"Implementing and Interpreting Fazlur Rahman's Islamic Moderation Concept in the Indonesian Context","volume":"12","author":[{"literal":"Ahmad Hasan Ridwan"},{"literal":"Mohammad Taufiq Rahman"},{"literal":"Yusuf Budiana"},{"literal":"Irfan Safrudin"},{"literal":"Muhammad Andi Septiadi"}],"issued":{"date-parts":[["2022",11,11]]}}}],"schema":"https://github.com/citation-style-language/schema/raw/master/csl-citation.json"}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Ahmad Hasan Ridwan vd., “Implementing and Interpreting Fazlur Rahman’s Islamic Moderation Concept in the Indonesian Context”, </w:t>
      </w:r>
      <w:r w:rsidRPr="003B71D3">
        <w:rPr>
          <w:rFonts w:asciiTheme="majorBidi" w:hAnsiTheme="majorBidi" w:cstheme="majorBidi"/>
          <w:i/>
          <w:iCs/>
          <w:kern w:val="0"/>
        </w:rPr>
        <w:t>Journal of Islamic Thought and Civilization</w:t>
      </w:r>
      <w:r w:rsidRPr="003B71D3">
        <w:rPr>
          <w:rFonts w:asciiTheme="majorBidi" w:hAnsiTheme="majorBidi" w:cstheme="majorBidi"/>
          <w:kern w:val="0"/>
        </w:rPr>
        <w:t xml:space="preserve"> 12/2 (11 Kasım 2022), 58-73</w:t>
      </w:r>
      <w:r w:rsidR="00E4684E" w:rsidRPr="003B71D3">
        <w:rPr>
          <w:rFonts w:asciiTheme="majorBidi" w:hAnsiTheme="majorBidi" w:cstheme="majorBidi"/>
          <w:kern w:val="0"/>
        </w:rPr>
        <w:t>, s.61</w:t>
      </w:r>
      <w:r w:rsidRPr="003B71D3">
        <w:rPr>
          <w:rFonts w:asciiTheme="majorBidi" w:hAnsiTheme="majorBidi" w:cstheme="majorBidi"/>
          <w:kern w:val="0"/>
        </w:rPr>
        <w:t>.</w:t>
      </w:r>
      <w:r w:rsidRPr="003B71D3">
        <w:rPr>
          <w:rFonts w:asciiTheme="majorBidi" w:hAnsiTheme="majorBidi" w:cstheme="majorBidi"/>
        </w:rPr>
        <w:fldChar w:fldCharType="end"/>
      </w:r>
    </w:p>
  </w:footnote>
  <w:footnote w:id="20">
    <w:p w14:paraId="4774525F" w14:textId="3D081EBA" w:rsidR="005E4D90" w:rsidRPr="003B71D3" w:rsidRDefault="005E4D9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{"citationID":"RcKuRSAo","properties":{"formattedCitation":"Bakti, \\uc0\\u8220{}Islam and Modernity\\uc0\\u8221{}.","plainCitation":"Bakti, “Islam and Modernity”.","dontUpdate":true,"noteIndex":20},"citationItems":[{"id":863,"uris":["http://zotero.org/users/local/YjPXotOo/items/X35BLGXL"],"itemData":{"id":863,"type":"article-journal","abstract":"Abstract\n              Debates on the applicability of the \"modern\" Western concepts of civil society, pluralism, secularization and democracy, together with Islam, significantly developed since the 1970s in Indonesia, in particular since the emergence of Nurcholish Madjid (hereafter Madjid). By the end of the 1980s, the Paramadina Foundation, which was established in 1986 by Madjid, among others, increasingly attracted higher middle-class individuals who claimed to adopt a progressive and open approach to Islam. Through Paramadina, Madjid, among others, developed his own idea of civil society. He is one of the most obvious champions of \"neo-modernism\" in Indonesia, as these ideas of both \"modernism\" and \"traditionalism\" are combined when they are relevant and suitable for society. The question addressed here is how Madjid interprets the concepts of civil society, pluralism, secularization and democracy as his main discourses? In other words, how does Madjid define and pave the way for Islamic development in Indonesia? What approaches does he use? While the concepts developed in Paramadina are basically inclusivism, pluralism, integralism, tolerance and democracy, on the way to achieving masyarakat madani (the Indonesian translation of civil society as adopted by Madjid), it seems that Madjid falls short of promoting local and global human values, international relations and communication. In fact, he adopts a cultural and nationalistic approach within the framework of Indonesian nationalism, which could lead to cultural crystallisation, particularism, localism and, eventually, atavism. These factors, however, if given a humanistic and global flavour — as set forward by the communication approach to human development — could indeed contribute to the emancipation of local citizens, from a parochial and centralized nationalism adhered to today by many Indonesian leaders. Thus, thinking globally and acting locally could be a liberating force for all.","container-title":"Asian Journal of Social Science","issue":"3","journalAbbreviation":"Asian J Soc Sci","language":"en","page":"486-505","source":"DOI.org (Crossref)","title":"Islam and Modernity: Nurcholish Madjid's Interpretation of Civil Society, Pluralism, Secularization, and Democracy","title-short":"Islam and Modernity","volume":"33","author":[{"family":"Bakti","given":"Andi Faisal"}],"issued":{"date-parts":[["2005"]]}}}],"schema":"https://github.com/citation-style-language/schema/raw/master/csl-citation.json"}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Bakti, “Islam and Modernity”</w:t>
      </w:r>
      <w:r w:rsidR="00E4684E" w:rsidRPr="003B71D3">
        <w:rPr>
          <w:rFonts w:asciiTheme="majorBidi" w:hAnsiTheme="majorBidi" w:cstheme="majorBidi"/>
          <w:kern w:val="0"/>
        </w:rPr>
        <w:t>, s.493</w:t>
      </w:r>
      <w:r w:rsidRPr="003B71D3">
        <w:rPr>
          <w:rFonts w:asciiTheme="majorBidi" w:hAnsiTheme="majorBidi" w:cstheme="majorBidi"/>
          <w:kern w:val="0"/>
        </w:rPr>
        <w:t>.</w:t>
      </w:r>
      <w:r w:rsidRPr="003B71D3">
        <w:rPr>
          <w:rFonts w:asciiTheme="majorBidi" w:hAnsiTheme="majorBidi" w:cstheme="majorBidi"/>
        </w:rPr>
        <w:fldChar w:fldCharType="end"/>
      </w:r>
    </w:p>
  </w:footnote>
  <w:footnote w:id="21">
    <w:p w14:paraId="4D48DEEB" w14:textId="631F9023" w:rsidR="00F57C70" w:rsidRPr="003B71D3" w:rsidRDefault="00F57C7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İslam Doktrini ve Medeniyeti: İnanç, İnsanlık ve Modernite Konularında Eleştirel Bir İnceleme</w:t>
      </w:r>
    </w:p>
  </w:footnote>
  <w:footnote w:id="22">
    <w:p w14:paraId="1772C3D1" w14:textId="13FFC638" w:rsidR="00E4684E" w:rsidRPr="003B71D3" w:rsidRDefault="00E4684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{"citationID":"1K4XjyN5","properties":{"formattedCitation":"Andi Ahmad Zahri Nafis vd., \\uc0\\u8220{}Pluralism Theology of Nurcholish Madjid\\uc0\\u8221{}, {\\i{}Al-Mutsla\\uc0\\u8239{}: Jurnal Ilmu-Ilmu Keislaman Dan Kemasyarakatan} 5/1 (Haziran 2023), 54-71.","plainCitation":"Andi Ahmad Zahri Nafis vd., “Pluralism Theology of Nurcholish Madjid”, Al-Mutsla : Jurnal Ilmu-Ilmu Keislaman Dan Kemasyarakatan 5/1 (Haziran 2023), 54-71.","dontUpdate":true,"noteIndex":22},"citationItems":[{"id":853,"uris":["http://zotero.org/users/local/YjPXotOo/items/4XDZGTCU"],"itemData":{"id":853,"type":"article-journal","abstract":"Pluralism is an understanding of mutual respect and understanding of differences in people's lives. Nurcholish Madjid's thoughts are considered relevant to be discussed, considering that he is a figure who counts in Indonesia, his existence is considered to represent the rise of renewal thinking in the archipelago. Associated with the condition of religious communities in Indonesia, his thoughts on pluralism are considered a necessity. The statement is based on the condition of religious pluralism embraced by the Indonesian population. If the plurality of religions embraced is not glued with a pluralistic perspective, then the plurality of religions is very potential to trigger conflict. This research aims to describe the concept of pluralism theology according to Nurcholish Madjid. The method used is a literature study by taking references from various sources such as printed and digital books, as well as journals related to the research. The results show that there are three approaches used by Nurcholish Madjid in formulating the concept of Pluralism, namely first, the Tawhid approach, which is the return of human dignity back to its position as a creature of Allah SWT. Humans look \"up\" only to Allah, to fellow humans must look in a series of equality. Second, the philological approach is the redefinition of the meaning of Islam or more precisely the expansion of the definition of Islam as an attitude of surrender, surrender, and submission to God Almighty. Third, the Historical Approach is the value or spirit contained in that history. In this case, every religious adherent needs to take examples such as the values of openness of the Medina community in the past, which are ideal to be applied today.","container-title":"Al-Mutsla : Jurnal Ilmu-Ilmu Keislaman dan Kemasyarakatan","issue":"1","journalAbbreviation":"Al-Mutsla","language":"en","page":"54-71","source":"Zotero","title":"Pluralism Theology of Nurcholish Madjid","volume":"5","author":[{"family":"Nafis","given":"Andi Ahmad Zahri"},{"family":"Santalia","given":"Indo"},{"literal":"Barsihannor"}],"issued":{"date-parts":[["2023",6]]}}}],"schema":"https://github.com/citation-style-language/schema/raw/master/csl-citation.json"}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Andi Ahmad Zahri Nafis vd., “Pluralism Theology of Nurcholish Madjid”, </w:t>
      </w:r>
      <w:r w:rsidRPr="003B71D3">
        <w:rPr>
          <w:rFonts w:asciiTheme="majorBidi" w:hAnsiTheme="majorBidi" w:cstheme="majorBidi"/>
          <w:i/>
          <w:iCs/>
          <w:kern w:val="0"/>
        </w:rPr>
        <w:t>Al-Mutsla : Jurnal Ilmu-Ilmu Keislaman Dan Kemasyarakatan</w:t>
      </w:r>
      <w:r w:rsidRPr="003B71D3">
        <w:rPr>
          <w:rFonts w:asciiTheme="majorBidi" w:hAnsiTheme="majorBidi" w:cstheme="majorBidi"/>
          <w:kern w:val="0"/>
        </w:rPr>
        <w:t xml:space="preserve"> 5/1 (Haziran 2023), 54-71, s.63.</w:t>
      </w:r>
      <w:r w:rsidRPr="003B71D3">
        <w:rPr>
          <w:rFonts w:asciiTheme="majorBidi" w:hAnsiTheme="majorBidi" w:cstheme="majorBidi"/>
        </w:rPr>
        <w:fldChar w:fldCharType="end"/>
      </w:r>
    </w:p>
  </w:footnote>
  <w:footnote w:id="23">
    <w:p w14:paraId="05D844FF" w14:textId="4C117C0D" w:rsidR="006005B9" w:rsidRPr="003B71D3" w:rsidRDefault="006005B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{"citationID":"bX0NvLoM","properties":{"formattedCitation":"Nafis vd., \\uc0\\u8220{}Pluralism Theology of Nurcholish Madjid\\uc0\\u8221{}.","plainCitation":"Nafis vd., “Pluralism Theology of Nurcholish Madjid”.","dontUpdate":true,"noteIndex":23},"citationItems":[{"id":853,"uris":["http://zotero.org/users/local/YjPXotOo/items/4XDZGTCU"],"itemData":{"id":853,"type":"article-journal","abstract":"Pluralism is an understanding of mutual respect and understanding of differences in people's lives. Nurcholish Madjid's thoughts are considered relevant to be discussed, considering that he is a figure who counts in Indonesia, his existence is considered to represent the rise of renewal thinking in the archipelago. Associated with the condition of religious communities in Indonesia, his thoughts on pluralism are considered a necessity. The statement is based on the condition of religious pluralism embraced by the Indonesian population. If the plurality of religions embraced is not glued with a pluralistic perspective, then the plurality of religions is very potential to trigger conflict. This research aims to describe the concept of pluralism theology according to Nurcholish Madjid. The method used is a literature study by taking references from various sources such as printed and digital books, as well as journals related to the research. The results show that there are three approaches used by Nurcholish Madjid in formulating the concept of Pluralism, namely first, the Tawhid approach, which is the return of human dignity back to its position as a creature of Allah SWT. Humans look \"up\" only to Allah, to fellow humans must look in a series of equality. Second, the philological approach is the redefinition of the meaning of Islam or more precisely the expansion of the definition of Islam as an attitude of surrender, surrender, and submission to God Almighty. Third, the Historical Approach is the value or spirit contained in that history. In this case, every religious adherent needs to take examples such as the values of openness of the Medina community in the past, which are ideal to be applied today.","container-title":"Al-Mutsla : Jurnal Ilmu-Ilmu Keislaman dan Kemasyarakatan","issue":"1","journalAbbreviation":"Al-Mutsla","language":"en","page":"54-71","source":"Zotero","title":"Pluralism Theology of Nurcholish Madjid","volume":"5","author":[{"family":"Nafis","given":"Andi Ahmad Zahri"},{"family":"Santalia","given":"Indo"},{"literal":"Barsihannor"}],"issued":{"date-parts":[["2023",6]]}}}],"schema":"https://github.com/citation-style-language/schema/raw/master/csl-citation.json"}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Nafis vd., “Pluralism Theology of Nurcholish Madjid”</w:t>
      </w:r>
      <w:r w:rsidR="00B21859" w:rsidRPr="003B71D3">
        <w:rPr>
          <w:rFonts w:asciiTheme="majorBidi" w:hAnsiTheme="majorBidi" w:cstheme="majorBidi"/>
          <w:kern w:val="0"/>
        </w:rPr>
        <w:t>, s.65-66</w:t>
      </w:r>
      <w:r w:rsidRPr="003B71D3">
        <w:rPr>
          <w:rFonts w:asciiTheme="majorBidi" w:hAnsiTheme="majorBidi" w:cstheme="majorBidi"/>
          <w:kern w:val="0"/>
        </w:rPr>
        <w:t>.</w:t>
      </w:r>
      <w:r w:rsidRPr="003B71D3">
        <w:rPr>
          <w:rFonts w:asciiTheme="majorBidi" w:hAnsiTheme="majorBidi" w:cstheme="majorBidi"/>
        </w:rPr>
        <w:fldChar w:fldCharType="end"/>
      </w:r>
    </w:p>
  </w:footnote>
  <w:footnote w:id="24">
    <w:p w14:paraId="58FA4470" w14:textId="3834E9A8" w:rsidR="006005B9" w:rsidRPr="003B71D3" w:rsidRDefault="006005B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{"citationID":"Aw48lKaV","properties":{"formattedCitation":"Sumanta, \\uc0\\u8220{}Nurcholish Madjid Inclusive Thinking In Religion And State Relations In Indonesia\\uc0\\u8221{}, {\\i{}JURNAL YAQZHAN: Analisis Filsafat, Agama Dan Kemanusiaan} 8/1 (01 Haziran 2022), 162.","plainCitation":"Sumanta, “Nurcholish Madjid Inclusive Thinking In Religion And State Relations In Indonesia”, JURNAL YAQZHAN: Analisis Filsafat, Agama Dan Kemanusiaan 8/1 (01 Haziran 2022), 162.","dontUpdate":true,"noteIndex":24},"citationItems":[{"id":880,"uris":["http://zotero.org/users/local/YjPXotOo/items/F4PGG5C4"],"itemData":{"id":880,"type":"article-journal","abstract":"The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Sumanta, “Nurcholish Madjid Inclusive Thinking In Religion And State Relations In Indonesia”, </w:t>
      </w:r>
      <w:r w:rsidRPr="003B71D3">
        <w:rPr>
          <w:rFonts w:asciiTheme="majorBidi" w:hAnsiTheme="majorBidi" w:cstheme="majorBidi"/>
          <w:i/>
          <w:iCs/>
          <w:kern w:val="0"/>
        </w:rPr>
        <w:t>JURNAL YAQZHAN: Analisis Filsafat, Agama Dan Kemanusiaan</w:t>
      </w:r>
      <w:r w:rsidRPr="003B71D3">
        <w:rPr>
          <w:rFonts w:asciiTheme="majorBidi" w:hAnsiTheme="majorBidi" w:cstheme="majorBidi"/>
          <w:kern w:val="0"/>
        </w:rPr>
        <w:t xml:space="preserve"> 8/1 (01 Haziran 2022)</w:t>
      </w:r>
      <w:r w:rsidR="00D91EC5" w:rsidRPr="003B71D3">
        <w:rPr>
          <w:rFonts w:asciiTheme="majorBidi" w:hAnsiTheme="majorBidi" w:cstheme="majorBidi"/>
          <w:kern w:val="0"/>
        </w:rPr>
        <w:t>, s.163</w:t>
      </w:r>
      <w:r w:rsidRPr="003B71D3">
        <w:rPr>
          <w:rFonts w:asciiTheme="majorBidi" w:hAnsiTheme="majorBidi" w:cstheme="majorBidi"/>
          <w:kern w:val="0"/>
        </w:rPr>
        <w:t>.</w:t>
      </w:r>
      <w:r w:rsidRPr="003B71D3">
        <w:rPr>
          <w:rFonts w:asciiTheme="majorBidi" w:hAnsiTheme="majorBidi" w:cstheme="majorBidi"/>
        </w:rPr>
        <w:fldChar w:fldCharType="end"/>
      </w:r>
    </w:p>
  </w:footnote>
  <w:footnote w:id="25">
    <w:p w14:paraId="53421AFA" w14:textId="653D87EB" w:rsidR="006005B9" w:rsidRPr="003B71D3" w:rsidRDefault="006005B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{"citationID":"ZegHTDyQ","properties":{"formattedCitation":"Nafis vd., \\uc0\\u8220{}Pluralism Theology of Nurcholish Madjid\\uc0\\u8221{}.","plainCitation":"Nafis vd., “Pluralism Theology of Nurcholish Madjid”.","dontUpdate":true,"noteIndex":25},"citationItems":[{"id":853,"uris":["http://zotero.org/users/local/YjPXotOo/items/4XDZGTCU"],"itemData":{"id":853,"type":"article-journal","abstract":"Pluralism is an understanding of mutual respect and understanding of differences in people's lives. Nurcholish Madjid's thoughts are considered relevant to be discussed, considering that he is a figure who counts in Indonesia, his existence is considered to represent the rise of renewal thinking in the archipelago. Associated with the condition of religious communities in Indonesia, his thoughts on pluralism are considered a necessity. The statement is based on the condition of religious pluralism embraced by the Indonesian population. If the plurality of religions embraced is not glued with a pluralistic perspective, then the plurality of religions is very potential to trigger conflict. This research aims to describe the concept of pluralism theology according to Nurcholish Madjid. The method used is a literature study by taking references from various sources such as printed and digital books, as well as journals related to the research. The results show that there are three approaches used by Nurcholish Madjid in formulating the concept of Pluralism, namely first, the Tawhid approach, which is the return of human dignity back to its position as a creature of Allah SWT. Humans look \"up\" only to Allah, to fellow humans must look in a series of equality. Second, the philological approach is the redefinition of the meaning of Islam or more precisely the expansion of the definition of Islam as an attitude of surrender, surrender, and submission to God Almighty. Third, the Historical Approach is the value or spirit contained in that history. In this case, every religious adherent needs to take examples such as the values of openness of the Medina community in the past, which are ideal to be applied today.","container-title":"Al-Mutsla : Jurnal Ilmu-Ilmu Keislaman dan Kemasyarakatan","issue":"1","journalAbbreviation":"Al-Mutsla","language":"en","page":"54-71","source":"Zotero","title":"Pluralism Theology of Nurcholish Madjid","volume":"5","author":[{"family":"Nafis","given":"Andi Ahmad Zahri"},{"family":"Santalia","given":"Indo"},{"literal":"Barsihannor"}],"issued":{"date-parts":[["2023",6]]}}}],"schema":"https://github.com/citation-style-language/schema/raw/master/csl-citation.json"}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Nafis vd., “Pluralism Theology of Nurcholish Madjid”</w:t>
      </w:r>
      <w:r w:rsidR="00D91EC5" w:rsidRPr="003B71D3">
        <w:rPr>
          <w:rFonts w:asciiTheme="majorBidi" w:hAnsiTheme="majorBidi" w:cstheme="majorBidi"/>
          <w:kern w:val="0"/>
        </w:rPr>
        <w:t>, s.66</w:t>
      </w:r>
      <w:r w:rsidRPr="003B71D3">
        <w:rPr>
          <w:rFonts w:asciiTheme="majorBidi" w:hAnsiTheme="majorBidi" w:cstheme="majorBidi"/>
          <w:kern w:val="0"/>
        </w:rPr>
        <w:t>.</w:t>
      </w:r>
      <w:r w:rsidRPr="003B71D3">
        <w:rPr>
          <w:rFonts w:asciiTheme="majorBidi" w:hAnsiTheme="majorBidi" w:cstheme="majorBidi"/>
        </w:rPr>
        <w:fldChar w:fldCharType="end"/>
      </w:r>
    </w:p>
  </w:footnote>
  <w:footnote w:id="26">
    <w:p w14:paraId="1FEEA012" w14:textId="597D8190" w:rsidR="006005B9" w:rsidRPr="003B71D3" w:rsidRDefault="006005B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{"citationID":"Ml8bRFua","properties":{"formattedCitation":"Sumanta, \\uc0\\u8220{}Nurcholish Madjid Inclusive Thinking In Religion And State Relations In Indonesia\\uc0\\u8221{}.","plainCitation":"Sumanta, “Nurcholish Madjid Inclusive Thinking In Religion And State Relations In Indonesia”.","dontUpdate":true,"noteIndex":26},"citationItems":[{"id":880,"uris":["http://zotero.org/users/local/YjPXotOo/items/F4PGG5C4"],"itemData":{"id":880,"type":"article-journal","abstract":"The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Sumanta, “Nurcholish Madjid Inclusive Thinking In Religion And State Relations In Indonesia”</w:t>
      </w:r>
      <w:r w:rsidR="00D91EC5" w:rsidRPr="003B71D3">
        <w:rPr>
          <w:rFonts w:asciiTheme="majorBidi" w:hAnsiTheme="majorBidi" w:cstheme="majorBidi"/>
          <w:kern w:val="0"/>
        </w:rPr>
        <w:t>, s.168</w:t>
      </w:r>
      <w:r w:rsidRPr="003B71D3">
        <w:rPr>
          <w:rFonts w:asciiTheme="majorBidi" w:hAnsiTheme="majorBidi" w:cstheme="majorBidi"/>
          <w:kern w:val="0"/>
        </w:rPr>
        <w:t>.</w:t>
      </w:r>
      <w:r w:rsidRPr="003B71D3">
        <w:rPr>
          <w:rFonts w:asciiTheme="majorBidi" w:hAnsiTheme="majorBidi" w:cstheme="majorBidi"/>
        </w:rPr>
        <w:fldChar w:fldCharType="end"/>
      </w:r>
    </w:p>
  </w:footnote>
  <w:footnote w:id="27">
    <w:p w14:paraId="018A759E" w14:textId="306CC316" w:rsidR="001A14C9" w:rsidRPr="003B71D3" w:rsidRDefault="001A14C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{"citationID":"YCergQyV","properties":{"formattedCitation":"Nafis vd., \\uc0\\u8220{}Pluralism Theology of Nurcholish Madjid\\uc0\\u8221{}.","plainCitation":"Nafis vd., “Pluralism Theology of Nurcholish Madjid”.","dontUpdate":true,"noteIndex":27},"citationItems":[{"id":853,"uris":["http://zotero.org/users/local/YjPXotOo/items/4XDZGTCU"],"itemData":{"id":853,"type":"article-journal","abstract":"Pluralism is an understanding of mutual respect and understanding of differences in people's lives. Nurcholish Madjid's thoughts are considered relevant to be discussed, considering that he is a figure who counts in Indonesia, his existence is considered to represent the rise of renewal thinking in the archipelago. Associated with the condition of religious communities in Indonesia, his thoughts on pluralism are considered a necessity. The statement is based on the condition of religious pluralism embraced by the Indonesian population. If the plurality of religions embraced is not glued with a pluralistic perspective, then the plurality of religions is very potential to trigger conflict. This research aims to describe the concept of pluralism theology according to Nurcholish Madjid. The method used is a literature study by taking references from various sources such as printed and digital books, as well as journals related to the research. The results show that there are three approaches used by Nurcholish Madjid in formulating the concept of Pluralism, namely first, the Tawhid approach, which is the return of human dignity back to its position as a creature of Allah SWT. Humans look \"up\" only to Allah, to fellow humans must look in a series of equality. Second, the philological approach is the redefinition of the meaning of Islam or more precisely the expansion of the definition of Islam as an attitude of surrender, surrender, and submission to God Almighty. Third, the Historical Approach is the value or spirit contained in that history. In this case, every religious adherent needs to take examples such as the values of openness of the Medina community in the past, which are ideal to be applied today.","container-title":"Al-Mutsla : Jurnal Ilmu-Ilmu Keislaman dan Kemasyarakatan","issue":"1","journalAbbreviation":"Al-Mutsla","language":"en","page":"54-71","source":"Zotero","title":"Pluralism Theology of Nurcholish Madjid","volume":"5","author":[{"family":"Nafis","given":"Andi Ahmad Zahri"},{"family":"Santalia","given":"Indo"},{"literal":"Barsihannor"}],"issued":{"date-parts":[["2023",6]]}}}],"schema":"https://github.com/citation-style-language/schema/raw/master/csl-citation.json"}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Nafis vd., “Pluralism Theology of Nurcholish Madjid”</w:t>
      </w:r>
      <w:r w:rsidR="00D91EC5" w:rsidRPr="003B71D3">
        <w:rPr>
          <w:rFonts w:asciiTheme="majorBidi" w:hAnsiTheme="majorBidi" w:cstheme="majorBidi"/>
          <w:kern w:val="0"/>
        </w:rPr>
        <w:t>, s.66</w:t>
      </w:r>
      <w:r w:rsidR="00DB4CCA" w:rsidRPr="003B71D3">
        <w:rPr>
          <w:rFonts w:asciiTheme="majorBidi" w:hAnsiTheme="majorBidi" w:cstheme="majorBidi"/>
          <w:kern w:val="0"/>
        </w:rPr>
        <w:t>-68</w:t>
      </w:r>
      <w:r w:rsidRPr="003B71D3">
        <w:rPr>
          <w:rFonts w:asciiTheme="majorBidi" w:hAnsiTheme="majorBidi" w:cstheme="majorBidi"/>
          <w:kern w:val="0"/>
        </w:rPr>
        <w:t>.</w:t>
      </w:r>
      <w:r w:rsidRPr="003B71D3">
        <w:rPr>
          <w:rFonts w:asciiTheme="majorBidi" w:hAnsiTheme="majorBidi" w:cstheme="majorBidi"/>
        </w:rPr>
        <w:fldChar w:fldCharType="end"/>
      </w:r>
    </w:p>
  </w:footnote>
  <w:footnote w:id="28">
    <w:p w14:paraId="3E47D00F" w14:textId="2777E685" w:rsidR="001A14C9" w:rsidRPr="003B71D3" w:rsidRDefault="001A14C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{"citationID":"2TuojdBz","properties":{"formattedCitation":"Johns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Tolerance”.","dontUpdate":true,"noteIndex":28},"citationItems":[{"id":866,"uris":["http://zotero.org/users/local/YjPXotOo/items/TZBPFQTF"],"itemData":{"id":866,"type":"chapter","container-title":"Modern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w:t>
      </w:r>
      <w:r w:rsidR="00D91EC5" w:rsidRPr="003B71D3">
        <w:rPr>
          <w:rFonts w:asciiTheme="majorBidi" w:hAnsiTheme="majorBidi" w:cstheme="majorBidi"/>
          <w:kern w:val="0"/>
        </w:rPr>
        <w:t>, s.86</w:t>
      </w:r>
      <w:r w:rsidRPr="003B71D3">
        <w:rPr>
          <w:rFonts w:asciiTheme="majorBidi" w:hAnsiTheme="majorBidi" w:cstheme="majorBidi"/>
          <w:kern w:val="0"/>
        </w:rPr>
        <w:t>.</w:t>
      </w:r>
      <w:r w:rsidRPr="003B71D3">
        <w:rPr>
          <w:rFonts w:asciiTheme="majorBidi" w:hAnsiTheme="majorBidi" w:cstheme="majorBidi"/>
        </w:rPr>
        <w:fldChar w:fldCharType="end"/>
      </w:r>
    </w:p>
  </w:footnote>
  <w:footnote w:id="29">
    <w:p w14:paraId="1154B3C7" w14:textId="46F461EA" w:rsidR="001A14C9" w:rsidRPr="003B71D3" w:rsidRDefault="001A14C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00AE7D74" w:rsidRPr="003B71D3">
        <w:rPr>
          <w:rFonts w:asciiTheme="majorBidi" w:hAnsiTheme="majorBidi" w:cstheme="majorBidi"/>
        </w:rPr>
        <w:t>Âl</w:t>
      </w:r>
      <w:proofErr w:type="spellEnd"/>
      <w:r w:rsidR="00AE7D74" w:rsidRPr="003B71D3">
        <w:rPr>
          <w:rFonts w:asciiTheme="majorBidi" w:hAnsiTheme="majorBidi" w:cstheme="majorBidi"/>
        </w:rPr>
        <w:t>-i İmrân Suresi 3/19</w:t>
      </w:r>
    </w:p>
  </w:footnote>
  <w:footnote w:id="30">
    <w:p w14:paraId="18DA00FD" w14:textId="0B4FE541" w:rsidR="00AE7D74" w:rsidRPr="003B71D3" w:rsidRDefault="00AE7D7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Pr="003B71D3">
        <w:rPr>
          <w:rFonts w:asciiTheme="majorBidi" w:hAnsiTheme="majorBidi" w:cstheme="majorBidi"/>
        </w:rPr>
        <w:t>Âl</w:t>
      </w:r>
      <w:proofErr w:type="spellEnd"/>
      <w:r w:rsidRPr="003B71D3">
        <w:rPr>
          <w:rFonts w:asciiTheme="majorBidi" w:hAnsiTheme="majorBidi" w:cstheme="majorBidi"/>
        </w:rPr>
        <w:t>-i İmrân Suresi 3/85</w:t>
      </w:r>
    </w:p>
  </w:footnote>
  <w:footnote w:id="31">
    <w:p w14:paraId="13592502" w14:textId="7DB9A4AB" w:rsidR="00AE7D74" w:rsidRPr="003B71D3" w:rsidRDefault="00AE7D7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{"citationID":"mvgOWdxi","properties":{"formattedCitation":"Johns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Tolerance”.","dontUpdate":true,"noteIndex":31},"citationItems":[{"id":866,"uris":["http://zotero.org/users/local/YjPXotOo/items/TZBPFQTF"],"itemData":{"id":866,"type":"chapter","container-title":"Modern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w:t>
      </w:r>
      <w:r w:rsidR="00D91EC5" w:rsidRPr="003B71D3">
        <w:rPr>
          <w:rFonts w:asciiTheme="majorBidi" w:hAnsiTheme="majorBidi" w:cstheme="majorBidi"/>
          <w:kern w:val="0"/>
        </w:rPr>
        <w:t>, s.85-86</w:t>
      </w:r>
      <w:r w:rsidRPr="003B71D3">
        <w:rPr>
          <w:rFonts w:asciiTheme="majorBidi" w:hAnsiTheme="majorBidi" w:cstheme="majorBidi"/>
          <w:kern w:val="0"/>
        </w:rPr>
        <w:t>.</w:t>
      </w:r>
      <w:r w:rsidRPr="003B71D3">
        <w:rPr>
          <w:rFonts w:asciiTheme="majorBidi" w:hAnsiTheme="majorBidi" w:cstheme="majorBidi"/>
        </w:rPr>
        <w:fldChar w:fldCharType="end"/>
      </w:r>
    </w:p>
  </w:footnote>
  <w:footnote w:id="32">
    <w:p w14:paraId="35600369" w14:textId="6123FE4D" w:rsidR="00AE7D74" w:rsidRPr="003B71D3" w:rsidRDefault="00AE7D7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{"citationID":"bSLcLFv7","properties":{"formattedCitation":"Cynthia Hadita - Muhammad Husni Thamrin, \\uc0\\u8220{}Nurcholish Madjid, Liberation Theology, and the Reconstruction of Islam as a Religion of Humanity: A Contemporary Analysis\\uc0\\u8221{}, {\\i{}Pharos Journal of Theology}, (01 Ocak 2026).","plainCitation":"Cynthia Hadita - Muhammad Husni Thamrin, “Nurcholish Madjid, Liberation Theology, and the Reconstruction of Islam as a Religion of Humanity: A Contemporary Analysis”, Pharos Journal of Theology, (01 Ocak 2026).","dontUpdate":true,"noteIndex":32},"citationItems":[{"id":868,"uris":["http://zotero.org/users/local/YjPXotOo/items/JJG6MANP"],"itemData":{"id":868,"type":"article-journal","abstract":"This study scrutinises Nurcholish Madjid’s thought through the prisms of Liberation Theology and the reconstruction of Islam as a religion of humanity, concentrating specifically on inclusive pluralism, substantive democracy, and liberation-oriented pedagogy. Employing a qualitative literature review methodology, the inquiry interrogates recent scholarly discourse and foundational texts germane to Madjid’s work, Liberation Theology, and the evolving contours of contemporary Islamic thought. The analysis unfolds via thematic content analysis, permitting the identification, classification, and synthesis of pivotal motifs such as the doctrinal relocation from theocentrism to anthropocentrism, the reconfiguration of Tawhid within social-justice discourse, the broadening of the term ahl al-kitab, and the repudiation of doctrinal theocracy. Findings indicate that Madjid counsels a shift from theocentrism to anthropocentrism, positing that while affirming divine oneness, Tawhid concurrently repudiates all oppressive dynamics confronting humanity. His discourse underscores the enduring relevance of Qur'anic values as interventions against contemporary exigencies—including structural poverty, social injustice, and the pluralism crisis—while simultaneously positioning education as a conduit for spiritual liberation, the cultivation of critical consciousness, and the nurturing of public morality that liberates religion from political co-optation. The research substantiates Madjid’s stature as a preeminent modern Muslim intellectual who adeptly fused liberation theology, political engagement, and pedagogy, thereby engineering a comprehensive and civilising transformation of society.","container-title":"Pharos Journal of Theology","DOI":"10.46222/pharosjot.107.24","ISSN":"1018-9556, 2414-3324","language":"en","license":"https://creativecommons.org/licenses/by-nc-nd/4.0/","source":"DOI.org (Crossref)","title":"Nurcholish Madjid, Liberation Theology, and the Reconstruction of Islam as a Religion of Humanity: A Contemporary Analysis","title-short":"Nurcholish Madjid, Liberation Theology, and the Reconstruction of Islam as a Religion of Humanity","URL":"https://www.pharosjot.com/uploads/7/1/6/3/7163688/article_24_107_1__2026_january_issue.pdf","author":[{"family":"Hadita","given":"Cynthia"},{"family":"Thamrin","given":"Muhammad Husni"}],"accessed":{"date-parts":[["2026",1,6]]},"issued":{"date-parts":[["2026",1,1]]}}}],"schema":"https://github.com/citation-style-language/schema/raw/master/csl-citation.json"}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Cynthia Hadita - Muhammad Husni Thamrin, “Nurcholish Madjid, Liberation Theology, and the Reconstruction of Islam as a Religion of Humanity: A Contemporary Analysis”, </w:t>
      </w:r>
      <w:r w:rsidRPr="003B71D3">
        <w:rPr>
          <w:rFonts w:asciiTheme="majorBidi" w:hAnsiTheme="majorBidi" w:cstheme="majorBidi"/>
          <w:i/>
          <w:iCs/>
          <w:kern w:val="0"/>
        </w:rPr>
        <w:t>Pharos Journal of Theology</w:t>
      </w:r>
      <w:r w:rsidRPr="003B71D3">
        <w:rPr>
          <w:rFonts w:asciiTheme="majorBidi" w:hAnsiTheme="majorBidi" w:cstheme="majorBidi"/>
          <w:kern w:val="0"/>
        </w:rPr>
        <w:t>, (01 Ocak 2026)</w:t>
      </w:r>
      <w:r w:rsidR="001E2805" w:rsidRPr="003B71D3">
        <w:rPr>
          <w:rFonts w:asciiTheme="majorBidi" w:hAnsiTheme="majorBidi" w:cstheme="majorBidi"/>
          <w:kern w:val="0"/>
        </w:rPr>
        <w:t>, s.11</w:t>
      </w:r>
      <w:r w:rsidRPr="003B71D3">
        <w:rPr>
          <w:rFonts w:asciiTheme="majorBidi" w:hAnsiTheme="majorBidi" w:cstheme="majorBidi"/>
          <w:kern w:val="0"/>
        </w:rPr>
        <w:t>.</w:t>
      </w:r>
      <w:r w:rsidRPr="003B71D3">
        <w:rPr>
          <w:rFonts w:asciiTheme="majorBidi" w:hAnsiTheme="majorBidi" w:cstheme="majorBidi"/>
        </w:rPr>
        <w:fldChar w:fldCharType="end"/>
      </w:r>
    </w:p>
  </w:footnote>
  <w:footnote w:id="33">
    <w:p w14:paraId="2A5140DF" w14:textId="1E608035" w:rsidR="00DA08B3" w:rsidRPr="003B71D3" w:rsidRDefault="00DA08B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{"citationID":"wMzUheUD","properties":{"formattedCitation":"Nafis vd., \\uc0\\u8220{}Pluralism Theology of Nurcholish Madjid\\uc0\\u8221{}.","plainCitation":"Nafis vd., “Pluralism Theology of Nurcholish Madjid”.","dontUpdate":true,"noteIndex":33},"citationItems":[{"id":853,"uris":["http://zotero.org/users/local/YjPXotOo/items/4XDZGTCU"],"itemData":{"id":853,"type":"article-journal","abstract":"Pluralism is an understanding of mutual respect and understanding of differences in people's lives. Nurcholish Madjid's thoughts are considered relevant to be discussed, considering that he is a figure who counts in Indonesia, his existence is considered to represent the rise of renewal thinking in the archipelago. Associated with the condition of religious communities in Indonesia, his thoughts on pluralism are considered a necessity. The statement is based on the condition of religious pluralism embraced by the Indonesian population. If the plurality of religions embraced is not glued with a pluralistic perspective, then the plurality of religions is very potential to trigger conflict. This research aims to describe the concept of pluralism theology according to Nurcholish Madjid. The method used is a literature study by taking references from various sources such as printed and digital books, as well as journals related to the research. The results show that there are three approaches used by Nurcholish Madjid in formulating the concept of Pluralism, namely first, the Tawhid approach, which is the return of human dignity back to its position as a creature of Allah SWT. Humans look \"up\" only to Allah, to fellow humans must look in a series of equality. Second, the philological approach is the redefinition of the meaning of Islam or more precisely the expansion of the definition of Islam as an attitude of surrender, surrender, and submission to God Almighty. Third, the Historical Approach is the value or spirit contained in that history. In this case, every religious adherent needs to take examples such as the values of openness of the Medina community in the past, which are ideal to be applied today.","container-title":"Al-Mutsla : Jurnal Ilmu-Ilmu Keislaman dan Kemasyarakatan","issue":"1","journalAbbreviation":"Al-Mutsla","language":"en","page":"54-71","source":"Zotero","title":"Pluralism Theology of Nurcholish Madjid","volume":"5","author":[{"family":"Nafis","given":"Andi Ahmad Zahri"},{"family":"Santalia","given":"Indo"},{"literal":"Barsihannor"}],"issued":{"date-parts":[["2023",6]]}}}],"schema":"https://github.com/citation-style-language/schema/raw/master/csl-citation.json"}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Nafis vd., “Pluralism Theology of Nurcholish Madjid”</w:t>
      </w:r>
      <w:r w:rsidR="00DB4CCA" w:rsidRPr="003B71D3">
        <w:rPr>
          <w:rFonts w:asciiTheme="majorBidi" w:hAnsiTheme="majorBidi" w:cstheme="majorBidi"/>
          <w:kern w:val="0"/>
        </w:rPr>
        <w:t>, s.68-69</w:t>
      </w:r>
      <w:r w:rsidRPr="003B71D3">
        <w:rPr>
          <w:rFonts w:asciiTheme="majorBidi" w:hAnsiTheme="majorBidi" w:cstheme="majorBidi"/>
          <w:kern w:val="0"/>
        </w:rPr>
        <w:t>.</w:t>
      </w:r>
      <w:r w:rsidRPr="003B71D3">
        <w:rPr>
          <w:rFonts w:asciiTheme="majorBidi" w:hAnsiTheme="majorBidi" w:cstheme="majorBidi"/>
        </w:rPr>
        <w:fldChar w:fldCharType="end"/>
      </w:r>
    </w:p>
  </w:footnote>
  <w:footnote w:id="34">
    <w:p w14:paraId="114C1821" w14:textId="0598C54E" w:rsidR="00DA08B3" w:rsidRPr="003B71D3" w:rsidRDefault="00DA08B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{"citationID":"YzugcRQb","properties":{"formattedCitation":"Bakti, \\uc0\\u8220{}Islam and Modernity\\uc0\\u8221{}.","plainCitation":"Bakti, “Islam and Modernity”.","dontUpdate":true,"noteIndex":34},"citationItems":[{"id":863,"uris":["http://zotero.org/users/local/YjPXotOo/items/X35BLGXL"],"itemData":{"id":863,"type":"article-journal","abstract":"Abstract\n              Debates on the applicability of the \"modern\" Western concepts of civil society, pluralism, secularization and democracy, together with Islam, significantly developed since the 1970s in Indonesia, in particular since the emergence of Nurcholish Madjid (hereafter Madjid). By the end of the 1980s, the Paramadina Foundation, which was established in 1986 by Madjid, among others, increasingly attracted higher middle-class individuals who claimed to adopt a progressive and open approach to Islam. Through Paramadina, Madjid, among others, developed his own idea of civil society. He is one of the most obvious champions of \"neo-modernism\" in Indonesia, as these ideas of both \"modernism\" and \"traditionalism\" are combined when they are relevant and suitable for society. The question addressed here is how Madjid interprets the concepts of civil society, pluralism, secularization and democracy as his main discourses? In other words, how does Madjid define and pave the way for Islamic development in Indonesia? What approaches does he use? While the concepts developed in Paramadina are basically inclusivism, pluralism, integralism, tolerance and democracy, on the way to achieving masyarakat madani (the Indonesian translation of civil society as adopted by Madjid), it seems that Madjid falls short of promoting local and global human values, international relations and communication. In fact, he adopts a cultural and nationalistic approach within the framework of Indonesian nationalism, which could lead to cultural crystallisation, particularism, localism and, eventually, atavism. These factors, however, if given a humanistic and global flavour — as set forward by the communication approach to human development — could indeed contribute to the emancipation of local citizens, from a parochial and centralized nationalism adhered to today by many Indonesian leaders. Thus, thinking globally and acting locally could be a liberating force for all.","container-title":"Asian Journal of Social Science","issue":"3","journalAbbreviation":"Asian J Soc Sci","language":"en","page":"486-505","source":"DOI.org (Crossref)","title":"Islam and Modernity: Nurcholish Madjid's Interpretation of Civil Society, Pluralism, Secularization, and Democracy","title-short":"Islam and Modernity","volume":"33","author":[{"family":"Bakti","given":"Andi Faisal"}],"issued":{"date-parts":[["2005"]]}}}],"schema":"https://github.com/citation-style-language/schema/raw/master/csl-citation.json"}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Bakti, “Islam and Modernity”</w:t>
      </w:r>
      <w:r w:rsidR="00DB4CCA" w:rsidRPr="003B71D3">
        <w:rPr>
          <w:rFonts w:asciiTheme="majorBidi" w:hAnsiTheme="majorBidi" w:cstheme="majorBidi"/>
          <w:kern w:val="0"/>
        </w:rPr>
        <w:t>, s.491</w:t>
      </w:r>
      <w:r w:rsidRPr="003B71D3">
        <w:rPr>
          <w:rFonts w:asciiTheme="majorBidi" w:hAnsiTheme="majorBidi" w:cstheme="majorBidi"/>
          <w:kern w:val="0"/>
        </w:rPr>
        <w:t>.</w:t>
      </w:r>
      <w:r w:rsidRPr="003B71D3">
        <w:rPr>
          <w:rFonts w:asciiTheme="majorBidi" w:hAnsiTheme="majorBidi" w:cstheme="majorBidi"/>
        </w:rPr>
        <w:fldChar w:fldCharType="end"/>
      </w:r>
    </w:p>
  </w:footnote>
  <w:footnote w:id="35">
    <w:p w14:paraId="4D78C1C4" w14:textId="31A9FD92" w:rsidR="00DA08B3" w:rsidRPr="003B71D3" w:rsidRDefault="00DA08B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{"citationID":"P5D3fcEY","properties":{"formattedCitation":"Wekke, \\uc0\\u8220{}Fazlur Rahman and His Enduring Legacy for Indonesian Islamic Scholarship\\uc0\\u8221{}.","plainCitation":"Wekke, “Fazlur Rahman and His Enduring Legacy for Indonesian Islamic Scholarship”.","dontUpdate":true,"noteIndex":35},"citationItems":[{"id":858,"uris":["http://zotero.org/users/local/YjPXotOo/items/C7LLUJRK"],"itemData":{"id":858,"type":"article-journal","abstract":"This article examines Fazlur Rahman's intellectual legacy and its influence on the development of Islamic thought in Indonesia. Rahman, with his neo-modernist approach, offered a \"double movement\"-based method of Qur'anic interpretation that emphasizes the importance of historical context and its application in the present. This study uses a qualitative approach with literature analysis, highlighting how Rahman's ideas spread to Indonesia through student networks, his works, and his direct interactions with Indonesian intellectuals. This article also documents Rahman's influence on major figures such as Nurcholish Madjid, Abdurrahman Wahid, Ahmad Syafii Maarif, and Amien Rais, as well as his contribution to the reform of Islamic education in Indonesia. The findings show that Rahman's ideas on contextual interpretation, educational reform, and the development of critical thinking have played a major role in driving the intellectual dynamics of Indonesian Islam, although they have also faced criticism and challenges in their application.","issue":"1","language":"en","source":"Zotero","title":"Fazlur Rahman and His Enduring Legacy for Indonesian Islamic Scholarship","volume":"3","author":[{"family":"Wekke","given":"Ismail Suardi"}],"issued":{"date-parts":[["2025"]]}}}],"schema":"https://github.com/citation-style-language/schema/raw/master/csl-citation.json"}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Wekke, “Fazlur Rahman and His Enduring Legacy for Indonesian Islamic Scholarship”</w:t>
      </w:r>
      <w:r w:rsidR="00DB4CCA" w:rsidRPr="003B71D3">
        <w:rPr>
          <w:rFonts w:asciiTheme="majorBidi" w:hAnsiTheme="majorBidi" w:cstheme="majorBidi"/>
          <w:kern w:val="0"/>
        </w:rPr>
        <w:t>, s.2</w:t>
      </w:r>
      <w:r w:rsidRPr="003B71D3">
        <w:rPr>
          <w:rFonts w:asciiTheme="majorBidi" w:hAnsiTheme="majorBidi" w:cstheme="majorBidi"/>
          <w:kern w:val="0"/>
        </w:rPr>
        <w:t>.</w:t>
      </w:r>
      <w:r w:rsidRPr="003B71D3">
        <w:rPr>
          <w:rFonts w:asciiTheme="majorBidi" w:hAnsiTheme="majorBidi" w:cstheme="majorBidi"/>
        </w:rPr>
        <w:fldChar w:fldCharType="end"/>
      </w:r>
    </w:p>
  </w:footnote>
  <w:footnote w:id="36">
    <w:p w14:paraId="454B349B" w14:textId="1A88283B" w:rsidR="00DA08B3" w:rsidRPr="003B71D3" w:rsidRDefault="00DA08B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{"citationID":"QMffheI1","properties":{"formattedCitation":"Johns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Tolerance”.","dontUpdate":true,"noteIndex":36},"citationItems":[{"id":866,"uris":["http://zotero.org/users/local/YjPXotOo/items/TZBPFQTF"],"itemData":{"id":866,"type":"chapter","container-title":"Modern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w:t>
      </w:r>
      <w:r w:rsidR="00DB4CCA" w:rsidRPr="003B71D3">
        <w:rPr>
          <w:rFonts w:asciiTheme="majorBidi" w:hAnsiTheme="majorBidi" w:cstheme="majorBidi"/>
          <w:kern w:val="0"/>
        </w:rPr>
        <w:t>, s.88</w:t>
      </w:r>
      <w:r w:rsidRPr="003B71D3">
        <w:rPr>
          <w:rFonts w:asciiTheme="majorBidi" w:hAnsiTheme="majorBidi" w:cstheme="majorBidi"/>
          <w:kern w:val="0"/>
        </w:rPr>
        <w:t>.</w:t>
      </w:r>
      <w:r w:rsidRPr="003B71D3">
        <w:rPr>
          <w:rFonts w:asciiTheme="majorBidi" w:hAnsiTheme="majorBidi" w:cstheme="majorBidi"/>
        </w:rPr>
        <w:fldChar w:fldCharType="end"/>
      </w:r>
    </w:p>
  </w:footnote>
  <w:footnote w:id="37">
    <w:p w14:paraId="596996BF" w14:textId="66A72307" w:rsidR="00DA08B3" w:rsidRPr="003B71D3" w:rsidRDefault="00DA08B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{"citationID":"sXVUa4rG","properties":{"formattedCitation":"Sumanta, \\uc0\\u8220{}Nurcholish Madjid Inclusive Thinking In Religion And State Relations In Indonesia\\uc0\\u8221{}.","plainCitation":"Sumanta, “Nurcholish Madjid Inclusive Thinking In Religion And State Relations In Indonesia”.","dontUpdate":true,"noteIndex":37},"citationItems":[{"id":880,"uris":["http://zotero.org/users/local/YjPXotOo/items/F4PGG5C4"],"itemData":{"id":880,"type":"article-journal","abstract":"The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Sumanta, “Nurcholish Madjid Inclusive Thinking In Religion And State Relations In Indonesia”</w:t>
      </w:r>
      <w:r w:rsidR="00DB4CCA" w:rsidRPr="003B71D3">
        <w:rPr>
          <w:rFonts w:asciiTheme="majorBidi" w:hAnsiTheme="majorBidi" w:cstheme="majorBidi"/>
          <w:kern w:val="0"/>
        </w:rPr>
        <w:t>, s.167</w:t>
      </w:r>
      <w:r w:rsidRPr="003B71D3">
        <w:rPr>
          <w:rFonts w:asciiTheme="majorBidi" w:hAnsiTheme="majorBidi" w:cstheme="majorBidi"/>
          <w:kern w:val="0"/>
        </w:rPr>
        <w:t>.</w:t>
      </w:r>
      <w:r w:rsidRPr="003B71D3">
        <w:rPr>
          <w:rFonts w:asciiTheme="majorBidi" w:hAnsiTheme="majorBidi" w:cstheme="majorBidi"/>
        </w:rPr>
        <w:fldChar w:fldCharType="end"/>
      </w:r>
    </w:p>
  </w:footnote>
  <w:footnote w:id="38">
    <w:p w14:paraId="36EC6942" w14:textId="528BE710" w:rsidR="008C6A07" w:rsidRPr="003B71D3" w:rsidRDefault="008C6A07">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{"citationID":"mFAIhHhD","properties":{"formattedCitation":"Mun\\uc0\\u8217{}im Sirry, \\uc0\\u8220{}Secularization in the Mind of Muslim Reformists: A Case Study of Nurcholish Madjid and Fouad Zakaria\\uc0\\u8221{}, {\\i{}JOURNAL OF INDONESIAN ISLAM} 1/2 (01 Aral\\uc0\\u305{}k 2007), 323-355.","plainCitation":"Mun’im Sirry, “Secularization in the Mind of Muslim Reformists: A Case Study of Nurcholish Madjid and Fouad Zakaria”, JOURNAL OF INDONESIAN ISLAM 1/2 (01 Aralık 2007), 323-355.","dontUpdate":true,"noteIndex":38},"citationItems":[{"id":876,"uris":["http://zotero.org/users/local/YjPXotOo/items/MRJ95KTJ"],"itemData":{"id":876,"type":"article-journal","abstract":"Nurcholish Madjid (Indonesia) and Fouad Zakaria (Egypt) represent the two most influential Muslim thinkers concerned with the issue of secularization. This article is a comparative analysis of their ideas, which have triggered intellectual debate on the term “secularization” and its implications in the Muslim world over the last three decades. Positing the discourse on secularization and secularism as a means to confront the obscurantist Islamist tide, both scholars use it as a starting point to discuss important issues in the context of their respective countries about the necessity to reform the current social, political, cultural, and intellectual stagnancy. They differ, however, in perceiving the extent of the discourse of secularism. Using the term “secularization” very carefully, Madjid makes clear that it should not be understood as leading to secularism in Indonesia. Unlike Madjid, Zakaria, inheriting the secularism debate from his predecessors, is more oriented toward rescuing secularism before it totally disappears in Egypt.","container-title":"JOURNAL OF INDONESIAN ISLAM","issue":"2","journalAbbreviation":"JIIS","language":"en","page":"323-355","title":"Secularization in the Mind of Muslim Reformists: A Case Study of Nurcholish Madjid and Fouad Zakaria","title-short":"Secularization in the Mind of Muslim Reformists","volume":"1","author":[{"family":"Sirry","given":"Mun’im"}],"issued":{"date-parts":[["2007",12,1]]}}}],"schema":"https://github.com/citation-style-language/schema/raw/master/csl-citation.json"}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Mun’im Sirry, “Secularization in the Mind of Muslim Reformists: A Case Study of Nurcholish Madjid and Fouad Zakaria”, </w:t>
      </w:r>
      <w:r w:rsidRPr="003B71D3">
        <w:rPr>
          <w:rFonts w:asciiTheme="majorBidi" w:hAnsiTheme="majorBidi" w:cstheme="majorBidi"/>
          <w:i/>
          <w:iCs/>
          <w:kern w:val="0"/>
        </w:rPr>
        <w:t>JOURNAL OF INDONESIAN ISLAM</w:t>
      </w:r>
      <w:r w:rsidRPr="003B71D3">
        <w:rPr>
          <w:rFonts w:asciiTheme="majorBidi" w:hAnsiTheme="majorBidi" w:cstheme="majorBidi"/>
          <w:kern w:val="0"/>
        </w:rPr>
        <w:t xml:space="preserve"> 1/2 (01 Aralık 2007), 323-355</w:t>
      </w:r>
      <w:r w:rsidR="00D658F2" w:rsidRPr="003B71D3">
        <w:rPr>
          <w:rFonts w:asciiTheme="majorBidi" w:hAnsiTheme="majorBidi" w:cstheme="majorBidi"/>
          <w:kern w:val="0"/>
        </w:rPr>
        <w:t>, s.331</w:t>
      </w:r>
      <w:r w:rsidRPr="003B71D3">
        <w:rPr>
          <w:rFonts w:asciiTheme="majorBidi" w:hAnsiTheme="majorBidi" w:cstheme="majorBidi"/>
          <w:kern w:val="0"/>
        </w:rPr>
        <w:t>.</w:t>
      </w:r>
      <w:r w:rsidRPr="003B71D3">
        <w:rPr>
          <w:rFonts w:asciiTheme="majorBidi" w:hAnsiTheme="majorBidi" w:cstheme="majorBidi"/>
        </w:rPr>
        <w:fldChar w:fldCharType="end"/>
      </w:r>
    </w:p>
  </w:footnote>
  <w:footnote w:id="39">
    <w:p w14:paraId="2A06FDDC" w14:textId="3CEC69D6" w:rsidR="007D1B9E" w:rsidRPr="003B71D3" w:rsidRDefault="007D1B9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{"citationID":"tIXZbHLH","properties":{"formattedCitation":"Sumanta, \\uc0\\u8220{}Nurcholish Madjid Inclusive Thinking In Religion And State Relations In Indonesia\\uc0\\u8221{}.","plainCitation":"Sumanta, “Nurcholish Madjid Inclusive Thinking In Religion And State Relations In Indonesia”.","dontUpdate":true,"noteIndex":39},"citationItems":[{"id":880,"uris":["http://zotero.org/users/local/YjPXotOo/items/F4PGG5C4"],"itemData":{"id":880,"type":"article-journal","abstract":"The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Sumanta, “Nurcholish Madjid Inclusive Thinking In Religion And State Relations In Indonesia”</w:t>
      </w:r>
      <w:r w:rsidR="00D658F2" w:rsidRPr="003B71D3">
        <w:rPr>
          <w:rFonts w:asciiTheme="majorBidi" w:hAnsiTheme="majorBidi" w:cstheme="majorBidi"/>
          <w:kern w:val="0"/>
        </w:rPr>
        <w:t>, s.163</w:t>
      </w:r>
      <w:r w:rsidRPr="003B71D3">
        <w:rPr>
          <w:rFonts w:asciiTheme="majorBidi" w:hAnsiTheme="majorBidi" w:cstheme="majorBidi"/>
          <w:kern w:val="0"/>
        </w:rPr>
        <w:t>.</w:t>
      </w:r>
      <w:r w:rsidRPr="003B71D3">
        <w:rPr>
          <w:rFonts w:asciiTheme="majorBidi" w:hAnsiTheme="majorBidi" w:cstheme="majorBidi"/>
        </w:rPr>
        <w:fldChar w:fldCharType="end"/>
      </w:r>
    </w:p>
  </w:footnote>
  <w:footnote w:id="40">
    <w:p w14:paraId="0B865446" w14:textId="1F905CB7" w:rsidR="002B2B29" w:rsidRPr="003B71D3" w:rsidRDefault="002B2B29">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{"citationID":"SbHiclP9","properties":{"formattedCitation":"Sirry, \\uc0\\u8220{}Secularization in the Mind of Muslim Reformists\\uc0\\u8221{}; Ahmad Ali Nurdin, \\uc0\\u8220{}Revisiting Discourse on Islam and State Relation in Indonesia: The View of Soekarno, Natsir and Nurcholish Madjid\\uc0\\u8221{}, {\\i{}Indonesian Journal of Islam and Muslim Societies} 6/1 (01 Haziran 2016), 63-92.","plainCitation":"Sirry, “Secularization in the Mind of Muslim Reformists”; Ahmad Ali Nurdin, “Revisiting Discourse on Islam and State Relation in Indonesia: The View of Soekarno, Natsir and Nurcholish Madjid”, Indonesian Journal of Islam and Muslim Societies 6/1 (01 Haziran 2016), 63-92.","dontUpdate":true,"noteIndex":40},"citationItems":[{"id":876,"uris":["http://zotero.org/users/local/YjPXotOo/items/MRJ95KTJ"],"itemData":{"id":876,"type":"article-journal","abstract":"Nurcholish Madjid (Indonesia) and Fouad Zakaria (Egypt) represent the two most influential Muslim thinkers concerned with the issue of secularization. This article is a comparative analysis of their ideas, which have triggered intellectual debate on the term “secularization” and its implications in the Muslim world over the last three decades. Positing the discourse on secularization and secularism as a means to confront the obscurantist Islamist tide, both scholars use it as a starting point to discuss important issues in the context of their respective countries about the necessity to reform the current social, political, cultural, and intellectual stagnancy. They differ, however, in perceiving the extent of the discourse of secularism. Using the term “secularization” very carefully, Madjid makes clear that it should not be understood as leading to secularism in Indonesia. Unlike Madjid, Zakaria, inheriting the secularism debate from his predecessors, is more oriented toward rescuing secularism before it totally disappears in Egypt.","container-title":"JOURNAL OF INDONESIAN ISLAM","issue":"2","journalAbbreviation":"JIIS","language":"en","page":"323-355","title":"Secularization in the Mind of Muslim Reformists: A Case Study of Nurcholish Madjid and Fouad Zakaria","title-short":"Secularization in the Mind of Muslim Reformists","volume":"1","author":[{"family":"Sirry","given":"Mun’im"}],"issued":{"date-parts":[["2007",12,1]]}}},{"id":854,"uris":["http://zotero.org/users/local/YjPXotOo/items/G37DV8TZ"],"itemData":{"id":854,"type":"article-journal","abstract":"This paper focuses on debates between Soekarno, Natsir and Nurcholish Madjid to whether Indonesian state should be based on Islam ideologically or not. Soekarno, was in favor of the separation between Islam and state and against the idea of a formal-legal relationship between them. In Soekarno’s belief, by separating religion from the state, it does not mean that Islamic teachings are automatically marginalized. Natsir argued against Soekarno’s idea that Islam should be separated from the state. Natsir believed that Islam is a way of life in which it not only guides Muslim peoples on ritual matter but also on worldly matters including how to manage a state. Madjid seems to propose the middle path between Soekarno and Natsir in his struggle to ‘Islamize’ Indonesia. On the one hand, Madjid opposes the idea of making Indonesia an Islamic state, and on the other hand, Madjid also refuses that Indonesian become totally a secular state. Madjid tried to develop a new format for political Islam in which substance, rather than form, serves as his primary orientations.","container-title":"Indonesian Journal of Islam and Muslim Societies","issue":"1","journalAbbreviation":"Indonesian J. Islam Muslim Soc.","language":"en","page":"63-92","title":"Revisiting discourse on Islam and state relation in Indonesia: the view of Soekarno, Natsir and Nurcholish Madjid","title-short":"Revisiting discourse on Islam and state relation in Indonesia","volume":"6","author":[{"family":"Nurdin","given":"Ahmad Ali"}],"issued":{"date-parts":[["2016",6,1]]}}}],"schema":"https://github.com/citation-style-language/schema/raw/master/csl-citation.json"}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Sirry, “Secularization in the Mind of Muslim Reformists”, s.329 ; Ahmad Ali Nurdin, “Revisiting Discourse on Islam and State Relation in Indonesia: The View of Soekarno, Natsir and Nurcholish Madjid”, </w:t>
      </w:r>
      <w:r w:rsidRPr="003B71D3">
        <w:rPr>
          <w:rFonts w:asciiTheme="majorBidi" w:hAnsiTheme="majorBidi" w:cstheme="majorBidi"/>
          <w:i/>
          <w:iCs/>
          <w:kern w:val="0"/>
        </w:rPr>
        <w:t>Indonesian Journal of Islam and Muslim Societies</w:t>
      </w:r>
      <w:r w:rsidRPr="003B71D3">
        <w:rPr>
          <w:rFonts w:asciiTheme="majorBidi" w:hAnsiTheme="majorBidi" w:cstheme="majorBidi"/>
          <w:kern w:val="0"/>
        </w:rPr>
        <w:t xml:space="preserve"> 6/1 (01 Haziran 2016), 63-92.</w:t>
      </w:r>
      <w:r w:rsidRPr="003B71D3">
        <w:rPr>
          <w:rFonts w:asciiTheme="majorBidi" w:hAnsiTheme="majorBidi" w:cstheme="majorBidi"/>
        </w:rPr>
        <w:fldChar w:fldCharType="end"/>
      </w:r>
    </w:p>
  </w:footnote>
  <w:footnote w:id="41">
    <w:p w14:paraId="46F233B7" w14:textId="519C7223" w:rsidR="007D1B9E" w:rsidRPr="003B71D3" w:rsidRDefault="007D1B9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{"citationID":"U8e3iAMx","properties":{"formattedCitation":"Zaprulkhan vd., \\uc0\\u8220{}Integrating Islam with Humanity and Indonesian Identity: Perspectives of Nurcholish Madjid and Ahmad Syafii Maarif\\uc0\\u8221{}, {\\i{}Journal of Islamic Thought and Civilization} 15/1 (25 Nisan 2025), 335-351.","plainCitation":"Zaprulkhan vd., “Integrating Islam with Humanity and Indonesian Identity: Perspectives of Nurcholish Madjid and Ahmad Syafii Maarif”, Journal of Islamic Thought and Civilization 15/1 (25 Nisan 2025), 335-351.","dontUpdate":true,"noteIndex":41},"citationItems":[{"id":861,"uris":["http://zotero.org/users/local/YjPXotOo/items/JLKQ634K"],"itemData":{"id":861,"type":"article-journal","abstract":"Since the beginning of the third millennium, the phenomenon of Indonesian society's religious diversity has been emerged which is characterized by exclusive Islamism. A part of society wants to separate Islamic elements from Indonesian elements and between the virtues that exist in Islam and humanity. Whereas according to NurcholishMadjid and Ahmad Syafii Maarif, Islam is a religion that promotes mercy for all creatures (rahmatanlil 'alamin), and is universal for all mankind. Islam is an inseparable part of indonesianity and it also carries a universal mission of virtue for all mankind. The two mentioned Muslim scholars seek to integrate Islam, humanity and Indonesian identity in a harmonious way so that the virtues of Islam can be accessed in a global-international context as well as in a national-Indonesian context. Both figures have undertaken a comprehensive integration of Islam with humanity and indonesianity. Therefore, this article will explore the discourse on the integration of Islam with humanity and indonesianity in the perspective of Nurcholish Madjid and Ahmad Syafii Maarif by rolling out the following epistemological questions: How is the construction of integration of Islam with humanity and Indonesianity according to Nurcholish Madjid and Ahmad Syafii Maarif? What is the relevance of the construction of the integration of Islam with humanity, and the indonesianity of the two scholars for the Indonesian people? The study of these two figures uses historical, comparative and synthetic approaches.","container-title":"Journal of Islamic Thought and Civilization","DOI":"10.32350/jitc.151.19","ISSN":"2520-0313, 2075-0943","issue":"1","journalAbbreviation":"JITC","language":"en","license":"https://creativecommons.org/licenses/by/4.0","page":"335-351","source":"DOI.org (Crossref)","title":"Integrating Islam with Humanity and Indonesian Identity: Perspectives of Nurcholish Madjid and Ahmad Syafii Maarif","title-short":"Integrating Islam with Humanity and Indonesian Identity","volume":"15","author":[{"literal":"Zaprulkhan"},{"family":"Abas","given":"Zainul"},{"family":"Gulerce","given":"Hakan"}],"issued":{"date-parts":[["2025",4,25]]}}}],"schema":"https://github.com/citation-style-language/schema/raw/master/csl-citation.json"}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Zaprulkhan vd., “Integrating Islam with Humanity and Indonesian Identity: Perspectives of Nurcholish Madjid and Ahmad Syafii Maarif”, </w:t>
      </w:r>
      <w:r w:rsidRPr="003B71D3">
        <w:rPr>
          <w:rFonts w:asciiTheme="majorBidi" w:hAnsiTheme="majorBidi" w:cstheme="majorBidi"/>
          <w:i/>
          <w:iCs/>
          <w:kern w:val="0"/>
        </w:rPr>
        <w:t>Journal of Islamic Thought and Civilization</w:t>
      </w:r>
      <w:r w:rsidRPr="003B71D3">
        <w:rPr>
          <w:rFonts w:asciiTheme="majorBidi" w:hAnsiTheme="majorBidi" w:cstheme="majorBidi"/>
          <w:kern w:val="0"/>
        </w:rPr>
        <w:t xml:space="preserve"> 15/1 (25 Nisan 2025), 335-351</w:t>
      </w:r>
      <w:r w:rsidR="00F32B20" w:rsidRPr="003B71D3">
        <w:rPr>
          <w:rFonts w:asciiTheme="majorBidi" w:hAnsiTheme="majorBidi" w:cstheme="majorBidi"/>
          <w:kern w:val="0"/>
        </w:rPr>
        <w:t>, s.339</w:t>
      </w:r>
      <w:r w:rsidRPr="003B71D3">
        <w:rPr>
          <w:rFonts w:asciiTheme="majorBidi" w:hAnsiTheme="majorBidi" w:cstheme="majorBidi"/>
          <w:kern w:val="0"/>
        </w:rPr>
        <w:t>.</w:t>
      </w:r>
      <w:r w:rsidRPr="003B71D3">
        <w:rPr>
          <w:rFonts w:asciiTheme="majorBidi" w:hAnsiTheme="majorBidi" w:cstheme="majorBidi"/>
        </w:rPr>
        <w:fldChar w:fldCharType="end"/>
      </w:r>
    </w:p>
  </w:footnote>
  <w:footnote w:id="42">
    <w:p w14:paraId="5B4172D1" w14:textId="67AF7F3B" w:rsidR="007D1B9E" w:rsidRPr="003B71D3" w:rsidRDefault="007D1B9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{"citationID":"2FiZYELb","properties":{"formattedCitation":"Yufriadi vd., \\uc0\\u8220{}Nurcholish Madjid\\uc0\\u8217{}s Neo-Modernism in Substantive Islamic Movements in Indonesia\\uc0\\u8221{}.","plainCitation":"Yufriadi vd., “Nurcholish Madjid’s Neo-Modernism in Substantive Islamic Movements in Indonesia”.","dontUpdate":true,"noteIndex":42},"citationItems":[{"id":852,"uris":["http://zotero.org/users/local/YjPXotOo/items/GUM24H6C"],"itemData":{"id":852,"type":"article-journal","abstract":"At this time, there is a stagnation of thought among Muslims regarding whether the concept of an Islamic state is still being debated or not. Islamic socio-political movements are divided into two streams, namely Substantive Islam and Symbolic Islam. Nurcholish Madjid firmly rejects the politicization of Islam in the interests of political groups that are members of Islamic parties. With the motto: \"Islam Yes, Islamic Party No!\". According to Nurcholish Madjid, Islamic political power is not always related to Islamic parties. He tries to convey a more substantial view of Islam, not just symbolism. Seeing the current situation, the criticism conveyed by Nurcholish Madjid is still very relevant. This research was conducted to explore the relevance of Nurcholish Madjid's thoughts on state politics in Indonesia by considering the current situation. Based on the results of this research, it was revealed that Nurcholish Madjid chose Islam which is more substantial than just symbolism. This has its roots in the universal values of Islam, not just the symbol of the \"Islamic party\" itself. If we look at the current situation, the criticism raised by Nurcholish Madjid is still relevant because, at this time, the politicization of religion is generally used to attack political opponents or increase party electability. Instead of using Islam as a moral guide for politics, political elites tend to use Muslims for individual interests.","container-title":"Perwakilan: Journal of Good Governance, Diplomacy, Customary Institutionalization and Social Networks","journalAbbreviation":"Perwakilan","language":"en","page":"53-62","title":"Nurcholish Madjid's Neo-Modernism in Substantive Islamic Movements in Indonesia","volume":"1","author":[{"family":"Yufriadi","given":"Ferdi"},{"family":"Syahriani","given":"Fadilla"},{"family":"Afifi","given":"Abdullah A"}],"issued":{"date-parts":[["2023",12,9]]}}}],"schema":"https://github.com/citation-style-language/schema/raw/master/csl-citation.json"}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Yufriadi vd., “Nurcholish Madjid’s Neo-Modernism in Substantive Islamic Movements in Indonesia”</w:t>
      </w:r>
      <w:r w:rsidR="00F32B20" w:rsidRPr="003B71D3">
        <w:rPr>
          <w:rFonts w:asciiTheme="majorBidi" w:hAnsiTheme="majorBidi" w:cstheme="majorBidi"/>
          <w:kern w:val="0"/>
        </w:rPr>
        <w:t>, s.54</w:t>
      </w:r>
      <w:r w:rsidRPr="003B71D3">
        <w:rPr>
          <w:rFonts w:asciiTheme="majorBidi" w:hAnsiTheme="majorBidi" w:cstheme="majorBidi"/>
          <w:kern w:val="0"/>
        </w:rPr>
        <w:t>.</w:t>
      </w:r>
      <w:r w:rsidRPr="003B71D3">
        <w:rPr>
          <w:rFonts w:asciiTheme="majorBidi" w:hAnsiTheme="majorBidi" w:cstheme="majorBidi"/>
        </w:rPr>
        <w:fldChar w:fldCharType="end"/>
      </w:r>
    </w:p>
  </w:footnote>
  <w:footnote w:id="43">
    <w:p w14:paraId="0F5116A8" w14:textId="0596E055" w:rsidR="00543A62" w:rsidRPr="003B71D3" w:rsidRDefault="00543A62">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{"citationID":"MlpOTUXV","properties":{"formattedCitation":"Hadita - Thamrin, \\uc0\\u8220{}Nurcholish Madjid, Liberation Theology, and the Reconstruction of Islam as a Religion of Humanity\\uc0\\u8221{}.","plainCitation":"Hadita - Thamrin, “Nurcholish Madjid, Liberation Theology, and the Reconstruction of Islam as a Religion of Humanity”.","dontUpdate":true,"noteIndex":43},"citationItems":[{"id":868,"uris":["http://zotero.org/users/local/YjPXotOo/items/JJG6MANP"],"itemData":{"id":868,"type":"article-journal","abstract":"This study scrutinises Nurcholish Madjid’s thought through the prisms of Liberation Theology and the reconstruction of Islam as a religion of humanity, concentrating specifically on inclusive pluralism, substantive democracy, and liberation-oriented pedagogy. Employing a qualitative literature review methodology, the inquiry interrogates recent scholarly discourse and foundational texts germane to Madjid’s work, Liberation Theology, and the evolving contours of contemporary Islamic thought. The analysis unfolds via thematic content analysis, permitting the identification, classification, and synthesis of pivotal motifs such as the doctrinal relocation from theocentrism to anthropocentrism, the reconfiguration of Tawhid within social-justice discourse, the broadening of the term ahl al-kitab, and the repudiation of doctrinal theocracy. Findings indicate that Madjid counsels a shift from theocentrism to anthropocentrism, positing that while affirming divine oneness, Tawhid concurrently repudiates all oppressive dynamics confronting humanity. His discourse underscores the enduring relevance of Qur'anic values as interventions against contemporary exigencies—including structural poverty, social injustice, and the pluralism crisis—while simultaneously positioning education as a conduit for spiritual liberation, the cultivation of critical consciousness, and the nurturing of public morality that liberates religion from political co-optation. The research substantiates Madjid’s stature as a preeminent modern Muslim intellectual who adeptly fused liberation theology, political engagement, and pedagogy, thereby engineering a comprehensive and civilising transformation of society.","container-title":"Pharos Journal of Theology","DOI":"10.46222/pharosjot.107.24","ISSN":"1018-9556, 2414-3324","language":"en","license":"https://creativecommons.org/licenses/by-nc-nd/4.0/","source":"DOI.org (Crossref)","title":"Nurcholish Madjid, Liberation Theology, and the Reconstruction of Islam as a Religion of Humanity: A Contemporary Analysis","title-short":"Nurcholish Madjid, Liberation Theology, and the Reconstruction of Islam as a Religion of Humanity","URL":"https://www.pharosjot.com/uploads/7/1/6/3/7163688/article_24_107_1__2026_january_issue.pdf","author":[{"family":"Hadita","given":"Cynthia"},{"family":"Thamrin","given":"Muhammad Husni"}],"accessed":{"date-parts":[["2026",1,6]]},"issued":{"date-parts":[["2026",1,1]]}}}],"schema":"https://github.com/citation-style-language/schema/raw/master/csl-citation.json"}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Hadita - Thamrin, “Nurcholish Madjid, Liberation Theology, and the Reconstruction of Islam as a Religion of Humanity”</w:t>
      </w:r>
      <w:r w:rsidR="00641BA6" w:rsidRPr="003B71D3">
        <w:rPr>
          <w:rFonts w:asciiTheme="majorBidi" w:hAnsiTheme="majorBidi" w:cstheme="majorBidi"/>
          <w:kern w:val="0"/>
        </w:rPr>
        <w:t>, s.9</w:t>
      </w:r>
      <w:r w:rsidRPr="003B71D3">
        <w:rPr>
          <w:rFonts w:asciiTheme="majorBidi" w:hAnsiTheme="majorBidi" w:cstheme="majorBidi"/>
          <w:kern w:val="0"/>
        </w:rPr>
        <w:t>.</w:t>
      </w:r>
      <w:r w:rsidRPr="003B71D3">
        <w:rPr>
          <w:rFonts w:asciiTheme="majorBidi" w:hAnsiTheme="majorBidi" w:cstheme="majorBidi"/>
        </w:rPr>
        <w:fldChar w:fldCharType="end"/>
      </w:r>
    </w:p>
  </w:footnote>
  <w:footnote w:id="44">
    <w:p w14:paraId="6CC9828E" w14:textId="4F35F96F" w:rsidR="00543A62" w:rsidRPr="003B71D3" w:rsidRDefault="00543A62">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{"citationID":"DK5x5QX2","properties":{"formattedCitation":"Nurdin, \\uc0\\u8220{}Revisiting Discourse on Islam and State Relation in Indonesia\\uc0\\u8221{}.","plainCitation":"Nurdin, “Revisiting Discourse on Islam and State Relation in Indonesia”.","dontUpdate":true,"noteIndex":44},"citationItems":[{"id":854,"uris":["http://zotero.org/users/local/YjPXotOo/items/G37DV8TZ"],"itemData":{"id":854,"type":"article-journal","abstract":"This paper focuses on debates between Soekarno, Natsir and Nurcholish Madjid to whether Indonesian state should be based on Islam ideologically or not. Soekarno, was in favor of the separation between Islam and state and against the idea of a formal-legal relationship between them. In Soekarno’s belief, by separating religion from the state, it does not mean that Islamic teachings are automatically marginalized. Natsir argued against Soekarno’s idea that Islam should be separated from the state. Natsir believed that Islam is a way of life in which it not only guides Muslim peoples on ritual matter but also on worldly matters including how to manage a state. Madjid seems to propose the middle path between Soekarno and Natsir in his struggle to ‘Islamize’ Indonesia. On the one hand, Madjid opposes the idea of making Indonesia an Islamic state, and on the other hand, Madjid also refuses that Indonesian become totally a secular state. Madjid tried to develop a new format for political Islam in which substance, rather than form, serves as his primary orientations.","container-title":"Indonesian Journal of Islam and Muslim Societies","issue":"1","journalAbbreviation":"Indonesian J. Islam Muslim Soc.","language":"en","page":"63-92","title":"Revisiting discourse on Islam and state relation in Indonesia: the view of Soekarno, Natsir and Nurcholish Madjid","title-short":"Revisiting discourse on Islam and state relation in Indonesia","volume":"6","author":[{"family":"Nurdin","given":"Ahmad Ali"}],"issued":{"date-parts":[["2016",6,1]]}}}],"schema":"https://github.com/citation-style-language/schema/raw/master/csl-citation.json"}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Nurdin, “Revisiting Discourse on Islam and State Relation in Indonesia”</w:t>
      </w:r>
      <w:r w:rsidR="00641BA6" w:rsidRPr="003B71D3">
        <w:rPr>
          <w:rFonts w:asciiTheme="majorBidi" w:hAnsiTheme="majorBidi" w:cstheme="majorBidi"/>
          <w:kern w:val="0"/>
        </w:rPr>
        <w:t>, s.86</w:t>
      </w:r>
      <w:r w:rsidRPr="003B71D3">
        <w:rPr>
          <w:rFonts w:asciiTheme="majorBidi" w:hAnsiTheme="majorBidi" w:cstheme="majorBidi"/>
          <w:kern w:val="0"/>
        </w:rPr>
        <w:t>.</w:t>
      </w:r>
      <w:r w:rsidRPr="003B71D3">
        <w:rPr>
          <w:rFonts w:asciiTheme="majorBidi" w:hAnsiTheme="majorBidi" w:cstheme="majorBidi"/>
        </w:rPr>
        <w:fldChar w:fldCharType="end"/>
      </w:r>
    </w:p>
  </w:footnote>
  <w:footnote w:id="45">
    <w:p w14:paraId="36E79480" w14:textId="57D68505" w:rsidR="00543A62" w:rsidRPr="003B71D3" w:rsidRDefault="00543A62">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Endonezya Ulema Meclisi</w:t>
      </w:r>
    </w:p>
  </w:footnote>
  <w:footnote w:id="46">
    <w:p w14:paraId="5040F1C8" w14:textId="51F23140" w:rsidR="000409FA" w:rsidRPr="003B71D3" w:rsidRDefault="000409FA">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{"citationID":"gQ18BcKL","properties":{"formattedCitation":"Sirry, \\uc0\\u8220{}Secularization in the Mind of Muslim Reformists\\uc0\\u8221{}.","plainCitation":"Sirry, “Secularization in the Mind of Muslim Reformists”.","dontUpdate":true,"noteIndex":46},"citationItems":[{"id":876,"uris":["http://zotero.org/users/local/YjPXotOo/items/MRJ95KTJ"],"itemData":{"id":876,"type":"article-journal","abstract":"Nurcholish Madjid (Indonesia) and Fouad Zakaria (Egypt) represent the two most influential Muslim thinkers concerned with the issue of secularization. This article is a comparative analysis of their ideas, which have triggered intellectual debate on the term “secularization” and its implications in the Muslim world over the last three decades. Positing the discourse on secularization and secularism as a means to confront the obscurantist Islamist tide, both scholars use it as a starting point to discuss important issues in the context of their respective countries about the necessity to reform the current social, political, cultural, and intellectual stagnancy. They differ, however, in perceiving the extent of the discourse of secularism. Using the term “secularization” very carefully, Madjid makes clear that it should not be understood as leading to secularism in Indonesia. Unlike Madjid, Zakaria, inheriting the secularism debate from his predecessors, is more oriented toward rescuing secularism before it totally disappears in Egypt.","container-title":"JOURNAL OF INDONESIAN ISLAM","issue":"2","journalAbbreviation":"JIIS","language":"en","page":"323-355","title":"Secularization in the Mind of Muslim Reformists: A Case Study of Nurcholish Madjid and Fouad Zakaria","title-short":"Secularization in the Mind of Muslim Reformists","volume":"1","author":[{"family":"Sirry","given":"Mun’im"}],"issued":{"date-parts":[["2007",12,1]]}}}],"schema":"https://github.com/citation-style-language/schema/raw/master/csl-citation.json"}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Sirry, “Secularization in the Mind of Muslim Reformists”</w:t>
      </w:r>
      <w:r w:rsidR="00641BA6" w:rsidRPr="003B71D3">
        <w:rPr>
          <w:rFonts w:asciiTheme="majorBidi" w:hAnsiTheme="majorBidi" w:cstheme="majorBidi"/>
          <w:kern w:val="0"/>
        </w:rPr>
        <w:t>, s.350</w:t>
      </w:r>
      <w:r w:rsidRPr="003B71D3">
        <w:rPr>
          <w:rFonts w:asciiTheme="majorBidi" w:hAnsiTheme="majorBidi" w:cstheme="majorBidi"/>
          <w:kern w:val="0"/>
        </w:rPr>
        <w:t>.</w:t>
      </w:r>
      <w:r w:rsidRPr="003B71D3">
        <w:rPr>
          <w:rFonts w:asciiTheme="majorBidi" w:hAnsiTheme="majorBidi" w:cstheme="majorBidi"/>
        </w:rPr>
        <w:fldChar w:fldCharType="end"/>
      </w:r>
    </w:p>
  </w:footnote>
  <w:footnote w:id="47">
    <w:p w14:paraId="5F6E2402" w14:textId="14526FE3" w:rsidR="002B540D" w:rsidRPr="003B71D3" w:rsidRDefault="002B540D">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{"citationID":"w6zpbqfk","properties":{"formattedCitation":"Johns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Tolerance”.","dontUpdate":true,"noteIndex":47},"citationItems":[{"id":866,"uris":["http://zotero.org/users/local/YjPXotOo/items/TZBPFQTF"],"itemData":{"id":866,"type":"chapter","container-title":"Modern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 s.70.</w:t>
      </w:r>
      <w:r w:rsidRPr="003B71D3">
        <w:rPr>
          <w:rFonts w:asciiTheme="majorBidi" w:hAnsiTheme="majorBidi" w:cstheme="majorBidi"/>
        </w:rPr>
        <w:fldChar w:fldCharType="end"/>
      </w:r>
    </w:p>
  </w:footnote>
  <w:footnote w:id="48">
    <w:p w14:paraId="2034EF25" w14:textId="7ABF9016" w:rsidR="000D366E" w:rsidRPr="003B71D3" w:rsidRDefault="000D366E" w:rsidP="000D366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{"citationID":"nZyiKRtb","properties":{"formattedCitation":"Sumanta, \\uc0\\u8220{}Nurcholish Madjid Inclusive Thinking In Religion And State Relations In Indonesia\\uc0\\u8221{}.","plainCitation":"Sumanta, “Nurcholish Madjid Inclusive Thinking In Religion And State Relations In Indonesia”.","dontUpdate":true,"noteIndex":48},"citationItems":[{"id":880,"uris":["http://zotero.org/users/local/YjPXotOo/items/F4PGG5C4"],"itemData":{"id":880,"type":"article-journal","abstract":"The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Sumanta, “Nurcholish Madjid Inclusive Thinking In Religion And State Relations In Indonesia”, s.174.</w:t>
      </w:r>
      <w:r w:rsidRPr="003B71D3">
        <w:rPr>
          <w:rFonts w:asciiTheme="majorBidi" w:hAnsiTheme="majorBidi" w:cstheme="majorBidi"/>
        </w:rPr>
        <w:fldChar w:fldCharType="end"/>
      </w:r>
    </w:p>
  </w:footnote>
  <w:footnote w:id="49">
    <w:p w14:paraId="5AFF04C0" w14:textId="4B7D034C" w:rsidR="000D366E" w:rsidRPr="003B71D3" w:rsidRDefault="000D366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{"citationID":"5d4X4oJ9","properties":{"formattedCitation":"Lahaji - Ahmad Faisal, \\uc0\\u8220{}\\uc0\\u8216{}Caliphate No in Indonesia\\uc0\\u8217{}: Nurcholish Madjid and Yudian Wahyudi Critiques toward Islamic State Discourse in Indonesian Islam\\uc0\\u8221{}, {\\i{}Cogent Social Sciences} 9/2 (15 Aral\\uc0\\u305{}k 2023), 2278207.","plainCitation":"Lahaji - Ahmad Faisal, “‘Caliphate No in Indonesia’: Nurcholish Madjid and Yudian Wahyudi Critiques toward Islamic State Discourse in Indonesian Islam”, Cogent Social Sciences 9/2 (15 Aralık 2023), 2278207.","dontUpdate":true,"noteIndex":49},"citationItems":[{"id":857,"uris":["http://zotero.org/users/local/YjPXotOo/items/TZLRVQW6"],"itemData":{"id":857,"type":"article-journal","abstract":"The establishment of the caliphate in Indonesia is offered as a solution to advancement based on theological considerations by its advocates. Many Muslim academics, including Nurcholish Madjid and Yudian Wahyudi, have disputed this allegation. Using data from written works and interviews, this study examined the perspectives of these two figures. The findings revealed that caliphate speech is problematic, conceptual, social, political, and argumentative. As a result, efforts to create this discourse as a concept in Indonesia are not only superfluous, but also futile, laborious, and harmful to the principle of monotheism and the spirit of teaching Islam with blessing for the world (rahmatan li al‘alamin). Pancasila is the best option supported by Islamic teachings that have a strong ontological, epistemological, and axiological foundation. When understood, believed, and implemented consistently, the numerous precepts consist of historical justification, reason, and actuality, which can sustain remarkable achievements in the life of the nation.","container-title":"Cogent Social Sciences","DOI":"10.1080/23311886.2023.2278207","ISSN":"2331-1886","issue":"2","journalAbbreviation":"Cogent Social Sciences","language":"en","page":"2278207","source":"DOI.org (Crossref)","title":"“Caliphate no in Indonesia”: Nurcholish Madjid and Yudian Wahyudi critiques toward Islamic State discourse in Indonesian Islam","title-short":"“Caliphate no in Indonesia”","volume":"9","author":[{"literal":"Lahaji"},{"family":"Faisal","given":"Ahmad"}],"issued":{"date-parts":[["2023",12,15]]}}}],"schema":"https://github.com/citation-style-language/schema/raw/master/csl-citation.json"}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Lahaji - Ahmad Faisal, “‘Caliphate No in Indonesia’: Nurcholish Madjid and Yudian Wahyudi Critiques toward Islamic State Discourse in Indonesian Islam”, </w:t>
      </w:r>
      <w:r w:rsidRPr="003B71D3">
        <w:rPr>
          <w:rFonts w:asciiTheme="majorBidi" w:hAnsiTheme="majorBidi" w:cstheme="majorBidi"/>
          <w:i/>
          <w:iCs/>
          <w:kern w:val="0"/>
        </w:rPr>
        <w:t>Cogent Social Sciences</w:t>
      </w:r>
      <w:r w:rsidRPr="003B71D3">
        <w:rPr>
          <w:rFonts w:asciiTheme="majorBidi" w:hAnsiTheme="majorBidi" w:cstheme="majorBidi"/>
          <w:kern w:val="0"/>
        </w:rPr>
        <w:t xml:space="preserve"> 9/2 (15 Aralık 2023), s.6.</w:t>
      </w:r>
      <w:r w:rsidRPr="003B71D3">
        <w:rPr>
          <w:rFonts w:asciiTheme="majorBidi" w:hAnsiTheme="majorBidi" w:cstheme="majorBidi"/>
        </w:rPr>
        <w:fldChar w:fldCharType="end"/>
      </w:r>
    </w:p>
  </w:footnote>
  <w:footnote w:id="50">
    <w:p w14:paraId="60926936" w14:textId="7C341FAB" w:rsidR="000D366E" w:rsidRPr="003B71D3" w:rsidRDefault="000D366E">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{"citationID":"nNYU4f5r","properties":{"formattedCitation":"Lahaji - Faisal, \\uc0\\u8220{}\\uc0\\u8216{}Caliphate No in Indonesia\\uc0\\u8217{}\\uc0\\u8221{}.","plainCitation":"Lahaji - Faisal, “‘Caliphate No in Indonesia’”.","dontUpdate":true,"noteIndex":50},"citationItems":[{"id":857,"uris":["http://zotero.org/users/local/YjPXotOo/items/TZLRVQW6"],"itemData":{"id":857,"type":"article-journal","abstract":"The establishment of the caliphate in Indonesia is offered as a solution to advancement based on theological considerations by its advocates. Many Muslim academics, including Nurcholish Madjid and Yudian Wahyudi, have disputed this allegation. Using data from written works and interviews, this study examined the perspectives of these two figures. The findings revealed that caliphate speech is problematic, conceptual, social, political, and argumentative. As a result, efforts to create this discourse as a concept in Indonesia are not only superfluous, but also futile, laborious, and harmful to the principle of monotheism and the spirit of teaching Islam with blessing for the world (rahmatan li al‘alamin). Pancasila is the best option supported by Islamic teachings that have a strong ontological, epistemological, and axiological foundation. When understood, believed, and implemented consistently, the numerous precepts consist of historical justification, reason, and actuality, which can sustain remarkable achievements in the life of the nation.","container-title":"Cogent Social Sciences","DOI":"10.1080/23311886.2023.2278207","ISSN":"2331-1886","issue":"2","journalAbbreviation":"Cogent Social Sciences","language":"en","page":"2278207","source":"DOI.org (Crossref)","title":"“Caliphate no in Indonesia”: Nurcholish Madjid and Yudian Wahyudi critiques toward Islamic State discourse in Indonesian Islam","title-short":"“Caliphate no in Indonesia”","volume":"9","author":[{"literal":"Lahaji"},{"family":"Faisal","given":"Ahmad"}],"issued":{"date-parts":[["2023",12,15]]}}}],"schema":"https://github.com/citation-style-language/schema/raw/master/csl-citation.json"}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Lahaji - Faisal, “‘Caliphate No in Indonesia’”, s.7.</w:t>
      </w:r>
      <w:r w:rsidRPr="003B71D3">
        <w:rPr>
          <w:rFonts w:asciiTheme="majorBidi" w:hAnsiTheme="majorBidi" w:cstheme="majorBidi"/>
        </w:rPr>
        <w:fldChar w:fldCharType="end"/>
      </w:r>
    </w:p>
  </w:footnote>
  <w:footnote w:id="51">
    <w:p w14:paraId="07A11F26" w14:textId="507A5C23" w:rsidR="00861A50" w:rsidRPr="003B71D3" w:rsidRDefault="00861A5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{"citationID":"YZ1j0YEL","properties":{"formattedCitation":"M. Amin Abdullah (ed.), \\uc0\\u8220{}Nurcholish Madjid and Religious Pluralism in Indonesian Islam\\uc0\\u8221{}, {\\i{}Pluralism in Islamic Contexts - Ethics, Politics and Modern Challenges}, Philosophy and Politics - Critical Explorations (Cham: Springer International Publishing, 2021), 189-200.","plainCitation":"M. Amin Abdullah (ed.), “Nurcholish Madjid and Religious Pluralism in Indonesian Islam”, Pluralism in Islamic Contexts - Ethics, Politics and Modern Challenges, Philosophy and Politics - Critical Explorations (Cham: Springer International Publishing, 2021), 189-200.","dontUpdate":true,"noteIndex":51},"citationItems":[{"id":865,"uris":["http://zotero.org/users/local/YjPXotOo/items/Q8V6WQ3U"],"itemData":{"id":865,"type":"chapter","collection-title":"Philosophy and Politics - Critical Explorations","container-title":"Pluralism in Islamic Contexts - Ethics, Politics and Modern Challenges","DOI":"10.1007/978-3-030-66089-5","ISBN":"978-3-030-66088-8","language":"en","license":"https://www.springernature.com/gp/researchers/text-and-data-mining","page":"189-200","publisher":"Springer International Publishing","publisher-place":"Cham","source":"DOI.org (Crossref)","title":"Nurcholish Madjid and Religious Pluralism in Indonesian Islam","URL":"https://link.springer.com/10.1007/978-3-030-66089-5","volume":"16","editor":[{"family":"Abdullah","given":"M. Amin"}],"accessed":{"date-parts":[["2026",1,6]]},"issued":{"date-parts":[["2021"]]}}}],"schema":"https://github.com/citation-style-language/schema/raw/master/csl-citation.json"}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M. Amin Abdullah (ed.), “Nurcholish Madjid and Religious Pluralism in Indonesian Islam”, </w:t>
      </w:r>
      <w:r w:rsidRPr="003B71D3">
        <w:rPr>
          <w:rFonts w:asciiTheme="majorBidi" w:hAnsiTheme="majorBidi" w:cstheme="majorBidi"/>
          <w:i/>
          <w:iCs/>
          <w:kern w:val="0"/>
        </w:rPr>
        <w:t>Pluralism in Islamic Contexts - Ethics, Politics and Modern Challenges</w:t>
      </w:r>
      <w:r w:rsidRPr="003B71D3">
        <w:rPr>
          <w:rFonts w:asciiTheme="majorBidi" w:hAnsiTheme="majorBidi" w:cstheme="majorBidi"/>
          <w:kern w:val="0"/>
        </w:rPr>
        <w:t>, Philosophy and Politics - Critical Explorations (Cham: Springer International Publishing, 2021), 189-200, s.193.</w:t>
      </w:r>
      <w:r w:rsidRPr="003B71D3">
        <w:rPr>
          <w:rFonts w:asciiTheme="majorBidi" w:hAnsiTheme="majorBidi" w:cstheme="majorBidi"/>
        </w:rPr>
        <w:fldChar w:fldCharType="end"/>
      </w:r>
    </w:p>
  </w:footnote>
  <w:footnote w:id="52">
    <w:p w14:paraId="6BA3F261" w14:textId="77777777" w:rsidR="002B540D" w:rsidRPr="003B71D3" w:rsidRDefault="002B540D" w:rsidP="002B540D">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Pr="003B71D3">
        <w:rPr>
          <w:rFonts w:asciiTheme="majorBidi" w:hAnsiTheme="majorBidi" w:cstheme="majorBidi"/>
        </w:rPr>
        <w:t>Âl</w:t>
      </w:r>
      <w:proofErr w:type="spellEnd"/>
      <w:r w:rsidRPr="003B71D3">
        <w:rPr>
          <w:rFonts w:asciiTheme="majorBidi" w:hAnsiTheme="majorBidi" w:cstheme="majorBidi"/>
        </w:rPr>
        <w:t>-i İmrân Suresi 3/64</w:t>
      </w:r>
    </w:p>
  </w:footnote>
  <w:footnote w:id="53">
    <w:p w14:paraId="309C0D8C" w14:textId="121FA3FB" w:rsidR="00861A50" w:rsidRPr="003B71D3" w:rsidRDefault="00861A50">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{"citationID":"uGjHDShx","properties":{"formattedCitation":"Mohammad Hanafi, {\\i{}A Deconstructive Reading of Nurcholish Madjid\\uc0\\u8217{}s Thought on Religious Reform} (ATHENS, GEORGIA: University of Georgia, 2006).","plainCitation":"Mohammad Hanafi, A Deconstructive Reading of Nurcholish Madjid’s Thought on Religious Reform (ATHENS, GEORGIA: University of Georgia, 2006).","dontUpdate":true,"noteIndex":53},"citationItems":[{"id":888,"uris":["http://zotero.org/users/local/YjPXotOo/items/JSLS3NS8"],"itemData":{"id":888,"type":"thesis","language":"en","publisher":"University of Georgia","publisher-place":"ATHENS, GEORGIA","source":"Zotero","title":"A Deconstructive Reading of Nurcholish Madjid's Thought on Religious Reform","author":[{"family":"Hanafi","given":"Mohammad"}],"issued":{"date-parts":[["2006"]]}}}],"schema":"https://github.com/citation-style-language/schema/raw/master/csl-citation.json"}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Mohammad Hanafi, </w:t>
      </w:r>
      <w:r w:rsidRPr="003B71D3">
        <w:rPr>
          <w:rFonts w:asciiTheme="majorBidi" w:hAnsiTheme="majorBidi" w:cstheme="majorBidi"/>
          <w:i/>
          <w:iCs/>
          <w:kern w:val="0"/>
        </w:rPr>
        <w:t>A Deconstructive Reading of Nurcholish Madjid’s Thought on Religious Reform</w:t>
      </w:r>
      <w:r w:rsidRPr="003B71D3">
        <w:rPr>
          <w:rFonts w:asciiTheme="majorBidi" w:hAnsiTheme="majorBidi" w:cstheme="majorBidi"/>
          <w:kern w:val="0"/>
        </w:rPr>
        <w:t xml:space="preserve"> (ATHENS, GEORGIA: University of Georgia, 2006), s.99.</w:t>
      </w:r>
      <w:r w:rsidRPr="003B71D3">
        <w:rPr>
          <w:rFonts w:asciiTheme="majorBidi" w:hAnsiTheme="majorBidi" w:cstheme="majorBidi"/>
        </w:rPr>
        <w:fldChar w:fldCharType="end"/>
      </w:r>
    </w:p>
  </w:footnote>
  <w:footnote w:id="54">
    <w:p w14:paraId="676C2335" w14:textId="146FD1D7" w:rsidR="000115FF" w:rsidRPr="003B71D3" w:rsidRDefault="000115FF">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{"citationID":"qxgbNsqx","properties":{"formattedCitation":"Wekke, \\uc0\\u8220{}Fazlur Rahman and His Enduring Legacy for Indonesian Islamic Scholarship\\uc0\\u8221{}.","plainCitation":"Wekke, “Fazlur Rahman and His Enduring Legacy for Indonesian Islamic Scholarship”.","dontUpdate":true,"noteIndex":54},"citationItems":[{"id":858,"uris":["http://zotero.org/users/local/YjPXotOo/items/C7LLUJRK"],"itemData":{"id":858,"type":"article-journal","abstract":"This article examines Fazlur Rahman's intellectual legacy and its influence on the development of Islamic thought in Indonesia. Rahman, with his neo-modernist approach, offered a \"double movement\"-based method of Qur'anic interpretation that emphasizes the importance of historical context and its application in the present. This study uses a qualitative approach with literature analysis, highlighting how Rahman's ideas spread to Indonesia through student networks, his works, and his direct interactions with Indonesian intellectuals. This article also documents Rahman's influence on major figures such as Nurcholish Madjid, Abdurrahman Wahid, Ahmad Syafii Maarif, and Amien Rais, as well as his contribution to the reform of Islamic education in Indonesia. The findings show that Rahman's ideas on contextual interpretation, educational reform, and the development of critical thinking have played a major role in driving the intellectual dynamics of Indonesian Islam, although they have also faced criticism and challenges in their application.","issue":"1","language":"en","source":"Zotero","title":"Fazlur Rahman and His Enduring Legacy for Indonesian Islamic Scholarship","volume":"3","author":[{"family":"Wekke","given":"Ismail Suardi"}],"issued":{"date-parts":[["2025"]]}}}],"schema":"https://github.com/citation-style-language/schema/raw/master/csl-citation.json"}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Wekke, “Fazlur Rahman and His Enduring Legacy for Indonesian Islamic Scholarship”</w:t>
      </w:r>
      <w:r w:rsidR="00641BA6" w:rsidRPr="003B71D3">
        <w:rPr>
          <w:rFonts w:asciiTheme="majorBidi" w:hAnsiTheme="majorBidi" w:cstheme="majorBidi"/>
          <w:kern w:val="0"/>
        </w:rPr>
        <w:t>, s.2</w:t>
      </w:r>
      <w:r w:rsidRPr="003B71D3">
        <w:rPr>
          <w:rFonts w:asciiTheme="majorBidi" w:hAnsiTheme="majorBidi" w:cstheme="majorBidi"/>
          <w:kern w:val="0"/>
        </w:rPr>
        <w:t>.</w:t>
      </w:r>
      <w:r w:rsidRPr="003B71D3">
        <w:rPr>
          <w:rFonts w:asciiTheme="majorBidi" w:hAnsiTheme="majorBidi" w:cstheme="majorBidi"/>
        </w:rPr>
        <w:fldChar w:fldCharType="end"/>
      </w:r>
    </w:p>
  </w:footnote>
  <w:footnote w:id="55">
    <w:p w14:paraId="71D20C33" w14:textId="37E52F2F" w:rsidR="003927E4" w:rsidRPr="003B71D3" w:rsidRDefault="003927E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{"citationID":"QrJHCeOj","properties":{"formattedCitation":"Mohammad Hanafi, {\\i{}A Deconstructive Reading of Nurcholish Madjid\\uc0\\u8217{}s Thought on Religious Reform} (ATHENS, GEORGIA: University of Georgia, ts.).","plainCitation":"Mohammad Hanafi, A Deconstructive Reading of Nurcholish Madjid’s Thought on Religious Reform (ATHENS, GEORGIA: University of Georgia, ts.).","dontUpdate":true,"noteIndex":55},"citationItems":[{"id":888,"uris":["http://zotero.org/users/local/YjPXotOo/items/JSLS3NS8"],"itemData":{"id":888,"type":"thesis","language":"en","publisher":"University of Georgia","publisher-place":"ATHENS, GEORGIA","source":"Zotero","title":"A Deconstructive Reading of Nurcholish Madjid's Thought on Religious Reform","author":[{"family":"Hanafi","given":"Mohammad"}],"issued":{"date-parts":[["2006"]]}}}],"schema":"https://github.com/citation-style-language/schema/raw/master/csl-citation.json"}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 xml:space="preserve">Mohammad Hanafi, </w:t>
      </w:r>
      <w:r w:rsidRPr="003B71D3">
        <w:rPr>
          <w:rFonts w:asciiTheme="majorBidi" w:hAnsiTheme="majorBidi" w:cstheme="majorBidi"/>
          <w:i/>
          <w:iCs/>
          <w:kern w:val="0"/>
        </w:rPr>
        <w:t>A Deconstructive Reading of Nurcholish Madjid’s Thought on Religious Reform</w:t>
      </w:r>
      <w:r w:rsidRPr="003B71D3">
        <w:rPr>
          <w:rFonts w:asciiTheme="majorBidi" w:hAnsiTheme="majorBidi" w:cstheme="majorBidi"/>
          <w:kern w:val="0"/>
        </w:rPr>
        <w:t xml:space="preserve"> (ATHENS, GEORGIA: University of Georgia) s.62.</w:t>
      </w:r>
      <w:r w:rsidRPr="003B71D3">
        <w:rPr>
          <w:rFonts w:asciiTheme="majorBidi" w:hAnsiTheme="majorBidi" w:cstheme="majorBidi"/>
        </w:rPr>
        <w:fldChar w:fldCharType="end"/>
      </w:r>
    </w:p>
  </w:footnote>
  <w:footnote w:id="56">
    <w:p w14:paraId="60DF2D74" w14:textId="14F9A65D" w:rsidR="000115FF" w:rsidRPr="003B71D3" w:rsidRDefault="000115FF">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{"citationID":"y4fJxLvb","properties":{"formattedCitation":"Sirry, \\uc0\\u8220{}Secularization in the Mind of Muslim Reformists\\uc0\\u8221{}.","plainCitation":"Sirry, “Secularization in the Mind of Muslim Reformists”.","dontUpdate":true,"noteIndex":56},"citationItems":[{"id":876,"uris":["http://zotero.org/users/local/YjPXotOo/items/MRJ95KTJ"],"itemData":{"id":876,"type":"article-journal","abstract":"Nurcholish Madjid (Indonesia) and Fouad Zakaria (Egypt) represent the two most influential Muslim thinkers concerned with the issue of secularization. This article is a comparative analysis of their ideas, which have triggered intellectual debate on the term “secularization” and its implications in the Muslim world over the last three decades. Positing the discourse on secularization and secularism as a means to confront the obscurantist Islamist tide, both scholars use it as a starting point to discuss important issues in the context of their respective countries about the necessity to reform the current social, political, cultural, and intellectual stagnancy. They differ, however, in perceiving the extent of the discourse of secularism. Using the term “secularization” very carefully, Madjid makes clear that it should not be understood as leading to secularism in Indonesia. Unlike Madjid, Zakaria, inheriting the secularism debate from his predecessors, is more oriented toward rescuing secularism before it totally disappears in Egypt.","container-title":"JOURNAL OF INDONESIAN ISLAM","issue":"2","journalAbbreviation":"JIIS","language":"en","page":"323-355","title":"Secularization in the Mind of Muslim Reformists: A Case Study of Nurcholish Madjid and Fouad Zakaria","title-short":"Secularization in the Mind of Muslim Reformists","volume":"1","author":[{"family":"Sirry","given":"Mun’im"}],"issued":{"date-parts":[["2007",12,1]]}}}],"schema":"https://github.com/citation-style-language/schema/raw/master/csl-citation.json"}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Sirry, “Secularization in the Mind of Muslim Reformists”</w:t>
      </w:r>
      <w:r w:rsidR="008C6A07" w:rsidRPr="003B71D3">
        <w:rPr>
          <w:rFonts w:asciiTheme="majorBidi" w:hAnsiTheme="majorBidi" w:cstheme="majorBidi"/>
          <w:kern w:val="0"/>
        </w:rPr>
        <w:t>, s.333</w:t>
      </w:r>
      <w:r w:rsidRPr="003B71D3">
        <w:rPr>
          <w:rFonts w:asciiTheme="majorBidi" w:hAnsiTheme="majorBidi" w:cstheme="majorBidi"/>
          <w:kern w:val="0"/>
        </w:rPr>
        <w:t>.</w:t>
      </w:r>
      <w:r w:rsidRPr="003B71D3">
        <w:rPr>
          <w:rFonts w:asciiTheme="majorBidi" w:hAnsiTheme="majorBidi" w:cstheme="majorBidi"/>
        </w:rPr>
        <w:fldChar w:fldCharType="end"/>
      </w:r>
    </w:p>
  </w:footnote>
  <w:footnote w:id="57">
    <w:p w14:paraId="031247DD" w14:textId="0AD94336" w:rsidR="003927E4" w:rsidRPr="003B71D3" w:rsidRDefault="003927E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{"citationID":"bzOlrp4P","properties":{"formattedCitation":"Sumanta, \\uc0\\u8220{}Nurcholish Madjid Inclusive Thinking In Religion And State Relations In Indonesia\\uc0\\u8221{}.","plainCitation":"Sumanta, “Nurcholish Madjid Inclusive Thinking In Religion And State Relations In Indonesia”.","dontUpdate":true,"noteIndex":57},"citationItems":[{"id":880,"uris":["http://zotero.org/users/local/YjPXotOo/items/F4PGG5C4"],"itemData":{"id":880,"type":"article-journal","abstract":"The subject of the relationship between religion and the state in society appears to be inexhaustible in modern Islamic studies discourse. The legal-formalistic understanding of Islam, which requires Islam to be manifested in the form of legalism and symbolism in the form of an Islamic state, has become something that appears to be discussed in various parts of the world, including Indonesia, especially since the Prophet Muhammad's death. In this context, it's worth considering the views of one of Indonesia's Islamic leaders, Nurcholis Madjid, on inclusivity in studying the relationship between religion and the state, where he proposes a democratic approach. In the elements of his thinking and speech, this research paper will further analyze the relationship between religion and the state.","container-title":"JURNAL YAQZHAN: Analisis Filsafat, Agama dan Kemanusiaan","DOI":"10.24235/jy.v8i1.11020","ISSN":"2528-5890, 2407-7208","issue":"1","journalAbbreviation":"JY","language":"en","title":"Nurcholish Madjid Inclusive Thinking In Religion And State Relations In Indonesia","volume":"8","author":[{"literal":"Sumanta"}],"issued":{"date-parts":[["2022",6,1]]}}}],"schema":"https://github.com/citation-style-language/schema/raw/master/csl-citation.json"}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Sumanta, “Nurcholish Madjid Inclusive Thinking In Religion And State Relations In Indonesia” s.</w:t>
      </w:r>
      <w:r w:rsidR="008C6A07" w:rsidRPr="003B71D3">
        <w:rPr>
          <w:rFonts w:asciiTheme="majorBidi" w:hAnsiTheme="majorBidi" w:cstheme="majorBidi"/>
          <w:kern w:val="0"/>
        </w:rPr>
        <w:t>1</w:t>
      </w:r>
      <w:r w:rsidRPr="003B71D3">
        <w:rPr>
          <w:rFonts w:asciiTheme="majorBidi" w:hAnsiTheme="majorBidi" w:cstheme="majorBidi"/>
          <w:kern w:val="0"/>
        </w:rPr>
        <w:t>6</w:t>
      </w:r>
      <w:r w:rsidR="008C6A07" w:rsidRPr="003B71D3">
        <w:rPr>
          <w:rFonts w:asciiTheme="majorBidi" w:hAnsiTheme="majorBidi" w:cstheme="majorBidi"/>
          <w:kern w:val="0"/>
        </w:rPr>
        <w:t>7</w:t>
      </w:r>
      <w:r w:rsidRPr="003B71D3">
        <w:rPr>
          <w:rFonts w:asciiTheme="majorBidi" w:hAnsiTheme="majorBidi" w:cstheme="majorBidi"/>
          <w:kern w:val="0"/>
        </w:rPr>
        <w:t>.</w:t>
      </w:r>
      <w:r w:rsidRPr="003B71D3">
        <w:rPr>
          <w:rFonts w:asciiTheme="majorBidi" w:hAnsiTheme="majorBidi" w:cstheme="majorBidi"/>
        </w:rPr>
        <w:fldChar w:fldCharType="end"/>
      </w:r>
    </w:p>
  </w:footnote>
  <w:footnote w:id="58">
    <w:p w14:paraId="3C1090EE" w14:textId="0B59B99F" w:rsidR="003927E4" w:rsidRPr="003B71D3" w:rsidRDefault="003927E4">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{"citationID":"OjXaUkRd","properties":{"formattedCitation":"Hadita - Thamrin, \\uc0\\u8220{}Nurcholish Madjid, Liberation Theology, and the Reconstruction of Islam as a Religion of Humanity\\uc0\\u8221{}.","plainCitation":"Hadita - Thamrin, “Nurcholish Madjid, Liberation Theology, and the Reconstruction of Islam as a Religion of Humanity”.","dontUpdate":true,"noteIndex":58},"citationItems":[{"id":868,"uris":["http://zotero.org/users/local/YjPXotOo/items/JJG6MANP"],"itemData":{"id":868,"type":"article-journal","abstract":"This study scrutinises Nurcholish Madjid’s thought through the prisms of Liberation Theology and the reconstruction of Islam as a religion of humanity, concentrating specifically on inclusive pluralism, substantive democracy, and liberation-oriented pedagogy. Employing a qualitative literature review methodology, the inquiry interrogates recent scholarly discourse and foundational texts germane to Madjid’s work, Liberation Theology, and the evolving contours of contemporary Islamic thought. The analysis unfolds via thematic content analysis, permitting the identification, classification, and synthesis of pivotal motifs such as the doctrinal relocation from theocentrism to anthropocentrism, the reconfiguration of Tawhid within social-justice discourse, the broadening of the term ahl al-kitab, and the repudiation of doctrinal theocracy. Findings indicate that Madjid counsels a shift from theocentrism to anthropocentrism, positing that while affirming divine oneness, Tawhid concurrently repudiates all oppressive dynamics confronting humanity. His discourse underscores the enduring relevance of Qur'anic values as interventions against contemporary exigencies—including structural poverty, social injustice, and the pluralism crisis—while simultaneously positioning education as a conduit for spiritual liberation, the cultivation of critical consciousness, and the nurturing of public morality that liberates religion from political co-optation. The research substantiates Madjid’s stature as a preeminent modern Muslim intellectual who adeptly fused liberation theology, political engagement, and pedagogy, thereby engineering a comprehensive and civilising transformation of society.","container-title":"Pharos Journal of Theology","DOI":"10.46222/pharosjot.107.24","ISSN":"1018-9556, 2414-3324","language":"en","license":"https://creativecommons.org/licenses/by-nc-nd/4.0/","source":"DOI.org (Crossref)","title":"Nurcholish Madjid, Liberation Theology, and the Reconstruction of Islam as a Religion of Humanity: A Contemporary Analysis","title-short":"Nurcholish Madjid, Liberation Theology, and the Reconstruction of Islam as a Religion of Humanity","URL":"https://www.pharosjot.com/uploads/7/1/6/3/7163688/article_24_107_1__2026_january_issue.pdf","author":[{"family":"Hadita","given":"Cynthia"},{"family":"Thamrin","given":"Muhammad Husni"}],"accessed":{"date-parts":[["2026",1,6]]},"issued":{"date-parts":[["2026",1,1]]}}}],"schema":"https://github.com/citation-style-language/schema/raw/master/csl-citation.json"}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Hadita - Thamrin, “Nurcholish Madjid, Liberation Theology, and the Reconstruction of Islam as a Religion of Humanity”, s.8.</w:t>
      </w:r>
      <w:r w:rsidRPr="003B71D3">
        <w:rPr>
          <w:rFonts w:asciiTheme="majorBidi" w:hAnsiTheme="majorBidi" w:cstheme="majorBidi"/>
        </w:rPr>
        <w:fldChar w:fldCharType="end"/>
      </w:r>
    </w:p>
  </w:footnote>
  <w:footnote w:id="59">
    <w:p w14:paraId="4B822B7F" w14:textId="2E49F8E9" w:rsidR="00C842EB" w:rsidRPr="003B71D3" w:rsidRDefault="00C842E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Nisa Suresi, 4/11.</w:t>
      </w:r>
    </w:p>
  </w:footnote>
  <w:footnote w:id="60">
    <w:p w14:paraId="35F39B27" w14:textId="7344053B" w:rsidR="00C842EB" w:rsidRPr="003B71D3" w:rsidRDefault="00C842E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{"citationID":"qp8GGB9v","properties":{"formattedCitation":"Johns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Tolerance”.","dontUpdate":true,"noteIndex":60},"citationItems":[{"id":866,"uris":["http://zotero.org/users/local/YjPXotOo/items/TZBPFQTF"],"itemData":{"id":866,"type":"chapter","container-title":"Modern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 s.</w:t>
      </w:r>
      <w:r w:rsidR="00E7499A" w:rsidRPr="003B71D3">
        <w:rPr>
          <w:rFonts w:asciiTheme="majorBidi" w:hAnsiTheme="majorBidi" w:cstheme="majorBidi"/>
          <w:kern w:val="0"/>
        </w:rPr>
        <w:t>83</w:t>
      </w:r>
      <w:r w:rsidRPr="003B71D3">
        <w:rPr>
          <w:rFonts w:asciiTheme="majorBidi" w:hAnsiTheme="majorBidi" w:cstheme="majorBidi"/>
          <w:kern w:val="0"/>
        </w:rPr>
        <w:t>.</w:t>
      </w:r>
      <w:r w:rsidRPr="003B71D3">
        <w:rPr>
          <w:rFonts w:asciiTheme="majorBidi" w:hAnsiTheme="majorBidi" w:cstheme="majorBidi"/>
        </w:rPr>
        <w:fldChar w:fldCharType="end"/>
      </w:r>
    </w:p>
  </w:footnote>
  <w:footnote w:id="61">
    <w:p w14:paraId="6B35CC14" w14:textId="3FFAB7BF" w:rsidR="00C842EB" w:rsidRPr="003B71D3" w:rsidRDefault="00C842E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Bakara Suresi, 2/256.</w:t>
      </w:r>
    </w:p>
  </w:footnote>
  <w:footnote w:id="62">
    <w:p w14:paraId="70DBBB61" w14:textId="672B6908" w:rsidR="00C842EB" w:rsidRPr="003B71D3" w:rsidRDefault="00C842EB">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proofErr w:type="spellStart"/>
      <w:r w:rsidRPr="003B71D3">
        <w:rPr>
          <w:rFonts w:asciiTheme="majorBidi" w:hAnsiTheme="majorBidi" w:cstheme="majorBidi"/>
        </w:rPr>
        <w:t>Kehf</w:t>
      </w:r>
      <w:proofErr w:type="spellEnd"/>
      <w:r w:rsidRPr="003B71D3">
        <w:rPr>
          <w:rFonts w:asciiTheme="majorBidi" w:hAnsiTheme="majorBidi" w:cstheme="majorBidi"/>
        </w:rPr>
        <w:t xml:space="preserve"> Suresi, 18/29.</w:t>
      </w:r>
    </w:p>
  </w:footnote>
  <w:footnote w:id="63">
    <w:p w14:paraId="2BC5A68E" w14:textId="60F8D19E" w:rsidR="001067C5" w:rsidRPr="003B71D3" w:rsidRDefault="001067C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{"citationID":"S7sAcLCZ","properties":{"formattedCitation":"Johns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Tolerance”.","dontUpdate":true,"noteIndex":63},"citationItems":[{"id":866,"uris":["http://zotero.org/users/local/YjPXotOo/items/TZBPFQTF"],"itemData":{"id":866,"type":"chapter","container-title":"Modern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 s.</w:t>
      </w:r>
      <w:r w:rsidR="00E7499A" w:rsidRPr="003B71D3">
        <w:rPr>
          <w:rFonts w:asciiTheme="majorBidi" w:hAnsiTheme="majorBidi" w:cstheme="majorBidi"/>
          <w:kern w:val="0"/>
        </w:rPr>
        <w:t>83</w:t>
      </w:r>
      <w:r w:rsidRPr="003B71D3">
        <w:rPr>
          <w:rFonts w:asciiTheme="majorBidi" w:hAnsiTheme="majorBidi" w:cstheme="majorBidi"/>
          <w:kern w:val="0"/>
        </w:rPr>
        <w:t>-</w:t>
      </w:r>
      <w:r w:rsidR="00E7499A" w:rsidRPr="003B71D3">
        <w:rPr>
          <w:rFonts w:asciiTheme="majorBidi" w:hAnsiTheme="majorBidi" w:cstheme="majorBidi"/>
          <w:kern w:val="0"/>
        </w:rPr>
        <w:t>84</w:t>
      </w:r>
      <w:r w:rsidRPr="003B71D3">
        <w:rPr>
          <w:rFonts w:asciiTheme="majorBidi" w:hAnsiTheme="majorBidi" w:cstheme="majorBidi"/>
          <w:kern w:val="0"/>
        </w:rPr>
        <w:t>.</w:t>
      </w:r>
      <w:r w:rsidRPr="003B71D3">
        <w:rPr>
          <w:rFonts w:asciiTheme="majorBidi" w:hAnsiTheme="majorBidi" w:cstheme="majorBidi"/>
        </w:rPr>
        <w:fldChar w:fldCharType="end"/>
      </w:r>
    </w:p>
  </w:footnote>
  <w:footnote w:id="64">
    <w:p w14:paraId="6259E81F" w14:textId="48F4042F" w:rsidR="001067C5" w:rsidRPr="003B71D3" w:rsidRDefault="001067C5">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{"citationID":"4FB6FcLO","properties":{"formattedCitation":"Hajam, \\uc0\\u8220{}Islam and Gender In The Perspective of Nurcholish Madjid\\uc0\\u8221{} (Proceedings of the 2nd Internasional Conference on Culture and Language in Southeast Asia (ICCLAS 2018), Tangerang Selatan, Indonesia: Atlantis Press, 2019).","plainCitation":"Hajam, “Islam and Gender In The Perspective of Nurcholish Madjid” (Proceedings of the 2nd Internasional Conference on Culture and Language in Southeast Asia (ICCLAS 2018), Tangerang Selatan, Indonesia: Atlantis Press, 2019).","dontUpdate":true,"noteIndex":64},"citationItems":[{"id":862,"uris":["http://zotero.org/users/local/YjPXotOo/items/C55RRBSF"],"itemData":{"id":862,"type":"paper-conference","abstract":"In religious teachings, a subordination to women always existed due to the misinterpretation of religious texts that resulted in the deviation of religious practices among religion adherents. The religious texts that are gender biased can lead to discrimination against women and the position of women in religion as subordinates of men. As it is very interesting issue to discuss, some Muslim scholars, like Nircholish Madjid, have articulated their ideas sourcing from Al-Quran and Hadith. Related to this issue, the study aimed to find out Nurcholish Madjid’s ideas and opinion on gender issues scattered in his works. It was a content analysis that made use of his books, journal articles, and other written documents as the primary data. The data were qualitatively analyzed to identify his thoughts. The study revealed that his thought on gender issues came from the teachings of monotheism (tawhid). Tawhid generated a self-liberation and social liberation that upheld egalitarianism. It would work well in a democratic social system based on deliberation rather than absolutism among human beings. He placed women as equal to men in the public sphere as a pure form of the teaching of monotheism. His views on gender issues covered three aspects, namely the notion of human equality, the view of the marriage institution, and the hijab.","DOI":"10.2991/icclas-18.2019.60","event-title":"Proceedings of the 2nd Internasional Conference on Culture and Language in Southeast Asia (ICCLAS 2018)","ISBN":"978-94-6252-663-1","language":"en","publisher":"Atlantis Press","publisher-place":"Tangerang Selatan, Indonesia","source":"DOI.org (Crossref)","title":"Islam and Gender In The Perspective of Nurcholish Madjid","URL":"https://www.atlantis-press.com/article/55913055","author":[{"literal":"Hajam"}],"accessed":{"date-parts":[["2026",1,6]]},"issued":{"date-parts":[["2019"]]}}}],"schema":"https://github.com/citation-style-language/schema/raw/master/csl-citation.json"}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Hajam, “Islam and Gender In The Perspective of Nurcholish Madjid” (Proceedings of the 2nd Internasional Conference on Culture and Language in Southeast Asia (ICCLAS 2018), Tangerang Selatan, Indonesia: Atlantis Press, 2019), s.3-4.</w:t>
      </w:r>
      <w:r w:rsidRPr="003B71D3">
        <w:rPr>
          <w:rFonts w:asciiTheme="majorBidi" w:hAnsiTheme="majorBidi" w:cstheme="majorBidi"/>
        </w:rPr>
        <w:fldChar w:fldCharType="end"/>
      </w:r>
    </w:p>
  </w:footnote>
  <w:footnote w:id="65">
    <w:p w14:paraId="5627F247" w14:textId="70BAEB4A" w:rsidR="00653813" w:rsidRPr="003B71D3" w:rsidRDefault="0065381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{"citationID":"WCAp0FAa","properties":{"formattedCitation":"Hajam, \\uc0\\u8220{}Islam and Gender In The Perspective of Nurcholish Madjid\\uc0\\u8221{}.","plainCitation":"Hajam, “Islam and Gender In The Perspective of Nurcholish Madjid”.","dontUpdate":true,"noteIndex":65},"citationItems":[{"id":862,"uris":["http://zotero.org/users/local/YjPXotOo/items/C55RRBSF"],"itemData":{"id":862,"type":"paper-conference","abstract":"In religious teachings, a subordination to women always existed due to the misinterpretation of religious texts that resulted in the deviation of religious practices among religion adherents. The religious texts that are gender biased can lead to discrimination against women and the position of women in religion as subordinates of men. As it is very interesting issue to discuss, some Muslim scholars, like Nircholish Madjid, have articulated their ideas sourcing from Al-Quran and Hadith. Related to this issue, the study aimed to find out Nurcholish Madjid’s ideas and opinion on gender issues scattered in his works. It was a content analysis that made use of his books, journal articles, and other written documents as the primary data. The data were qualitatively analyzed to identify his thoughts. The study revealed that his thought on gender issues came from the teachings of monotheism (tawhid). Tawhid generated a self-liberation and social liberation that upheld egalitarianism. It would work well in a democratic social system based on deliberation rather than absolutism among human beings. He placed women as equal to men in the public sphere as a pure form of the teaching of monotheism. His views on gender issues covered three aspects, namely the notion of human equality, the view of the marriage institution, and the hijab.","DOI":"10.2991/icclas-18.2019.60","event-title":"Proceedings of the 2nd Internasional Conference on Culture and Language in Southeast Asia (ICCLAS 2018)","ISBN":"978-94-6252-663-1","language":"en","publisher":"Atlantis Press","publisher-place":"Tangerang Selatan, Indonesia","source":"DOI.org (Crossref)","title":"Islam and Gender In The Perspective of Nurcholish Madjid","URL":"https://www.atlantis-press.com/article/55913055","author":[{"literal":"Hajam"}],"accessed":{"date-parts":[["2026",1,6]]},"issued":{"date-parts":[["2019"]]}}}],"schema":"https://github.com/citation-style-language/schema/raw/master/csl-citation.json"}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Hajam, “Islam and Gender In The Perspective of Nurcholish Madjid”, s.4-5.</w:t>
      </w:r>
      <w:r w:rsidRPr="003B71D3">
        <w:rPr>
          <w:rFonts w:asciiTheme="majorBidi" w:hAnsiTheme="majorBidi" w:cstheme="majorBidi"/>
        </w:rPr>
        <w:fldChar w:fldCharType="end"/>
      </w:r>
    </w:p>
  </w:footnote>
  <w:footnote w:id="66">
    <w:p w14:paraId="07010D60" w14:textId="1F0F4596" w:rsidR="00653813" w:rsidRPr="003B71D3" w:rsidRDefault="00653813" w:rsidP="0065381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{"citationID":"K70klbrB","properties":{"formattedCitation":"Johns - Saeed, \\uc0\\u8220{}Nurcholish Madjid and the Interpretation of the Qur\\uc0\\u8217{}an: Religious Pluralism and Tolerance\\uc0\\u8221{}.","plainCitation":"Johns - Saeed, “Nurcholish Madjid and the Interpretation of the Qur’an: Religious Pluralism and Tolerance”.","dontUpdate":true,"noteIndex":66},"citationItems":[{"id":866,"uris":["http://zotero.org/users/local/YjPXotOo/items/TZBPFQTF"],"itemData":{"id":866,"type":"chapter","container-title":"Modern Muslim Intellectuals and the Qur'an","language":"en","page":"67-96","publisher":"Oxford University Press","publisher-place":"London","source":"Zotero","title":"Nurcholish Madjid and the interpretation of the Qur’an: religious pluralism and tolerance","author":[{"family":"Johns","given":"Anthony H."},{"family":"Saeed","given":"Abdullah"}],"issued":{"date-parts":[["2006"]]}}}],"schema":"https://github.com/citation-style-language/schema/raw/master/csl-citation.json"} </w:instrText>
      </w:r>
      <w:r w:rsidRPr="003B71D3">
        <w:rPr>
          <w:rFonts w:asciiTheme="majorBidi" w:hAnsiTheme="majorBidi" w:cstheme="majorBidi"/>
        </w:rPr>
        <w:fldChar w:fldCharType="separate"/>
      </w:r>
      <w:r w:rsidRPr="003B71D3">
        <w:rPr>
          <w:rFonts w:asciiTheme="majorBidi" w:hAnsiTheme="majorBidi" w:cstheme="majorBidi"/>
          <w:kern w:val="0"/>
        </w:rPr>
        <w:t>Johns - Saeed, “Nurcholish Madjid and the Interpretation of the Qur’an: Religious Pluralism and Tolerance”, s.</w:t>
      </w:r>
      <w:r w:rsidR="00E7499A" w:rsidRPr="003B71D3">
        <w:rPr>
          <w:rFonts w:asciiTheme="majorBidi" w:hAnsiTheme="majorBidi" w:cstheme="majorBidi"/>
          <w:kern w:val="0"/>
        </w:rPr>
        <w:t>88</w:t>
      </w:r>
      <w:r w:rsidRPr="003B71D3">
        <w:rPr>
          <w:rFonts w:asciiTheme="majorBidi" w:hAnsiTheme="majorBidi" w:cstheme="majorBidi"/>
          <w:kern w:val="0"/>
        </w:rPr>
        <w:t>.</w:t>
      </w:r>
      <w:r w:rsidRPr="003B71D3">
        <w:rPr>
          <w:rFonts w:asciiTheme="majorBidi" w:hAnsiTheme="majorBidi" w:cstheme="majorBidi"/>
        </w:rPr>
        <w:fldChar w:fldCharType="end"/>
      </w:r>
    </w:p>
  </w:footnote>
  <w:footnote w:id="67">
    <w:p w14:paraId="51D4ADEE" w14:textId="133D5FAF" w:rsidR="00653813" w:rsidRPr="003B71D3" w:rsidRDefault="00653813">
      <w:pPr>
        <w:pStyle w:val="FootnoteText"/>
        <w:rPr>
          <w:rFonts w:asciiTheme="majorBidi" w:hAnsiTheme="majorBidi" w:cstheme="majorBidi"/>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{"citationID":"fPiR5EKE","properties":{"formattedCitation":"G\\uc0\\u214{}KSOY, \\uc0\\u8220{}NURH\\uc0\\u194{}L\\uc0\\u304{}S M\\uc0\\u194{}C\\uc0\\u304{}D\\uc0\\u8221{}.","plainCitation":"GÖKSOY, “NURHÂLİS MÂCİD”.","noteIndex":67},"citationItems":[{"id":890,"uris":["http://zotero.org/users/local/YjPXotOo/items/XWD4H6XK"],"itemData":{"id":890,"type":"entry-encyclopedia","container-title":"TDV İslâm Ansiklopedisi","title":"NURHÂLİS MÂCİD","URL":"https://islamansiklopedisi.org.tr/nurhalis-macid","author":[{"family":"GÖKSOY","given":"İSMAİL HAKKI"}],"issued":{"date-parts":[["2019"]]}}}],"schema":"https://github.com/citation-style-language/schema/raw/master/csl-citation.json"} </w:instrText>
      </w:r>
      <w:r w:rsidRPr="003B71D3">
        <w:rPr>
          <w:rFonts w:asciiTheme="majorBidi" w:hAnsiTheme="majorBidi" w:cstheme="majorBidi"/>
        </w:rPr>
        <w:fldChar w:fldCharType="separate"/>
      </w:r>
      <w:r w:rsidR="00D658F2" w:rsidRPr="003B71D3">
        <w:rPr>
          <w:rFonts w:asciiTheme="majorBidi" w:hAnsiTheme="majorBidi" w:cstheme="majorBidi"/>
          <w:kern w:val="0"/>
        </w:rPr>
        <w:t>GÖKSOY, “NURHÂLİS MÂCİD”.</w:t>
      </w:r>
      <w:r w:rsidRPr="003B71D3">
        <w:rPr>
          <w:rFonts w:asciiTheme="majorBidi" w:hAnsiTheme="majorBidi" w:cstheme="majorBidi"/>
        </w:rPr>
        <w:fldChar w:fldCharType="end"/>
      </w:r>
    </w:p>
  </w:footnote>
  <w:footnote w:id="68">
    <w:p w14:paraId="7BC6ABC3" w14:textId="126D5053" w:rsidR="007F4B2D" w:rsidRPr="003B71D3" w:rsidRDefault="007F4B2D">
      <w:pPr>
        <w:pStyle w:val="FootnoteText"/>
        <w:rPr>
          <w:rFonts w:asciiTheme="majorBidi" w:hAnsiTheme="majorBidi" w:cstheme="majorBidi"/>
          <w:lang w:val="en-US"/>
        </w:rPr>
      </w:pPr>
      <w:r w:rsidRPr="003B71D3">
        <w:rPr>
          <w:rStyle w:val="FootnoteReference"/>
          <w:rFonts w:asciiTheme="majorBidi" w:hAnsiTheme="majorBidi" w:cstheme="majorBidi"/>
        </w:rPr>
        <w:footnoteRef/>
      </w:r>
      <w:r w:rsidRPr="003B71D3">
        <w:rPr>
          <w:rFonts w:asciiTheme="majorBidi" w:hAnsiTheme="majorBidi" w:cstheme="majorBidi"/>
        </w:rPr>
        <w:t xml:space="preserve"> </w:t>
      </w:r>
      <w:r w:rsidRPr="003B71D3">
        <w:rPr>
          <w:rFonts w:asciiTheme="majorBidi" w:hAnsiTheme="majorBidi" w:cstheme="majorBidi"/>
        </w:rPr>
        <w:fldChar w:fldCharType="begin"/>
      </w:r>
      <w:r w:rsidR="00741410" w:rsidRPr="003B71D3">
        <w:rPr>
          <w:rFonts w:asciiTheme="majorBidi" w:hAnsiTheme="majorBidi" w:cstheme="majorBidi"/>
        </w:rPr>
        <w:instrText xml:space="preserve"> ADDIN ZOTERO_ITEM CSL_CITATION {"citationID":"WLy6S2Z3","properties":{"formattedCitation":"Greg Fealy, \\uc0\\u8220{}Nurcholish Madjid: Remembering Indonesia\\uc0\\u8217{}s Pre-Eminent Islamic Reformer\\uc0\\u8221{} (Overland Society Ltd, Australia, 2007).","plainCitation":"Greg Fealy, “Nurcholish Madjid: Remembering Indonesia’s Pre-Eminent Islamic Reformer” (Overland Society Ltd, Australia, 2007).","noteIndex":68},"citationItems":[{"id":891,"uris":["http://zotero.org/users/local/YjPXotOo/items/7RQ8DWJJ"],"itemData":{"id":891,"type":"document","language":"English","publisher":"Overland Society Ltd, Australia","title":"Nurcholish Madjid: Remembering Indonesia's Pre-Eminent Islamic Reformer","author":[{"family":"Fealy","given":"Greg"}],"issued":{"date-parts":[["2007"]]}}}],"schema":"https://github.com/citation-style-language/schema/raw/master/csl-citation.json"} </w:instrText>
      </w:r>
      <w:r w:rsidRPr="003B71D3">
        <w:rPr>
          <w:rFonts w:asciiTheme="majorBidi" w:hAnsiTheme="majorBidi" w:cstheme="majorBidi"/>
        </w:rPr>
        <w:fldChar w:fldCharType="separate"/>
      </w:r>
      <w:r w:rsidR="00D212EE" w:rsidRPr="003B71D3">
        <w:rPr>
          <w:rFonts w:asciiTheme="majorBidi" w:hAnsiTheme="majorBidi" w:cstheme="majorBidi"/>
          <w:kern w:val="0"/>
        </w:rPr>
        <w:t>Greg Fealy, “Nurcholish Madjid: Remembering Indonesia’s Pre-Eminent Islamic Reformer” (Overland Society Ltd, Australia, 2007).</w:t>
      </w:r>
      <w:r w:rsidRPr="003B71D3">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340"/>
    <w:multiLevelType w:val="hybridMultilevel"/>
    <w:tmpl w:val="AB0A1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00783E"/>
    <w:multiLevelType w:val="hybridMultilevel"/>
    <w:tmpl w:val="D41CF2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01823"/>
    <w:multiLevelType w:val="multilevel"/>
    <w:tmpl w:val="3AAA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65E0D"/>
    <w:multiLevelType w:val="hybridMultilevel"/>
    <w:tmpl w:val="E67CC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5272148">
    <w:abstractNumId w:val="2"/>
  </w:num>
  <w:num w:numId="2" w16cid:durableId="1777016279">
    <w:abstractNumId w:val="0"/>
  </w:num>
  <w:num w:numId="3" w16cid:durableId="798762162">
    <w:abstractNumId w:val="1"/>
  </w:num>
  <w:num w:numId="4" w16cid:durableId="1009452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59"/>
    <w:rsid w:val="00004461"/>
    <w:rsid w:val="000109D3"/>
    <w:rsid w:val="000115FF"/>
    <w:rsid w:val="00015790"/>
    <w:rsid w:val="00031206"/>
    <w:rsid w:val="0003170A"/>
    <w:rsid w:val="00033569"/>
    <w:rsid w:val="00036F71"/>
    <w:rsid w:val="000409FA"/>
    <w:rsid w:val="00056671"/>
    <w:rsid w:val="000835DC"/>
    <w:rsid w:val="000B4B77"/>
    <w:rsid w:val="000D0246"/>
    <w:rsid w:val="000D366E"/>
    <w:rsid w:val="000D3A23"/>
    <w:rsid w:val="001067C5"/>
    <w:rsid w:val="00131745"/>
    <w:rsid w:val="00160B14"/>
    <w:rsid w:val="00174D0D"/>
    <w:rsid w:val="001874EA"/>
    <w:rsid w:val="001A14C9"/>
    <w:rsid w:val="001B4935"/>
    <w:rsid w:val="001B4B89"/>
    <w:rsid w:val="001C31A0"/>
    <w:rsid w:val="001E2805"/>
    <w:rsid w:val="00207BA7"/>
    <w:rsid w:val="00245B40"/>
    <w:rsid w:val="002542E5"/>
    <w:rsid w:val="00263E9C"/>
    <w:rsid w:val="002767A3"/>
    <w:rsid w:val="0028082D"/>
    <w:rsid w:val="002B2B29"/>
    <w:rsid w:val="002B3A3F"/>
    <w:rsid w:val="002B540D"/>
    <w:rsid w:val="002C4415"/>
    <w:rsid w:val="002C4F84"/>
    <w:rsid w:val="003140C8"/>
    <w:rsid w:val="003235D1"/>
    <w:rsid w:val="003271F6"/>
    <w:rsid w:val="00374B0D"/>
    <w:rsid w:val="00380191"/>
    <w:rsid w:val="003927E4"/>
    <w:rsid w:val="0039292E"/>
    <w:rsid w:val="003B4FFF"/>
    <w:rsid w:val="003B71D3"/>
    <w:rsid w:val="003D18C5"/>
    <w:rsid w:val="004356DC"/>
    <w:rsid w:val="00455BC6"/>
    <w:rsid w:val="004B42AA"/>
    <w:rsid w:val="00511C53"/>
    <w:rsid w:val="00530B74"/>
    <w:rsid w:val="00543A62"/>
    <w:rsid w:val="005572AE"/>
    <w:rsid w:val="00567967"/>
    <w:rsid w:val="00597A56"/>
    <w:rsid w:val="005C725D"/>
    <w:rsid w:val="005E450C"/>
    <w:rsid w:val="005E4D90"/>
    <w:rsid w:val="006005B9"/>
    <w:rsid w:val="006227CF"/>
    <w:rsid w:val="00627AD1"/>
    <w:rsid w:val="00634DFE"/>
    <w:rsid w:val="00641BA6"/>
    <w:rsid w:val="00653813"/>
    <w:rsid w:val="006716DE"/>
    <w:rsid w:val="006B1E32"/>
    <w:rsid w:val="006B5F8B"/>
    <w:rsid w:val="006C414B"/>
    <w:rsid w:val="00741410"/>
    <w:rsid w:val="007C221B"/>
    <w:rsid w:val="007D1B9E"/>
    <w:rsid w:val="007F21F4"/>
    <w:rsid w:val="007F4B2D"/>
    <w:rsid w:val="00804F3F"/>
    <w:rsid w:val="0082140C"/>
    <w:rsid w:val="00830BF6"/>
    <w:rsid w:val="00861A50"/>
    <w:rsid w:val="00877746"/>
    <w:rsid w:val="00891B12"/>
    <w:rsid w:val="00893ADB"/>
    <w:rsid w:val="008C6A07"/>
    <w:rsid w:val="008E70C9"/>
    <w:rsid w:val="008F66D2"/>
    <w:rsid w:val="0090146C"/>
    <w:rsid w:val="00906E79"/>
    <w:rsid w:val="00922301"/>
    <w:rsid w:val="009351BA"/>
    <w:rsid w:val="0095707C"/>
    <w:rsid w:val="009A64BC"/>
    <w:rsid w:val="009D3516"/>
    <w:rsid w:val="009D71C6"/>
    <w:rsid w:val="009E3A0F"/>
    <w:rsid w:val="009F29C5"/>
    <w:rsid w:val="009F5A59"/>
    <w:rsid w:val="00A657E2"/>
    <w:rsid w:val="00AE7D74"/>
    <w:rsid w:val="00B00906"/>
    <w:rsid w:val="00B21859"/>
    <w:rsid w:val="00B30D75"/>
    <w:rsid w:val="00B31BAA"/>
    <w:rsid w:val="00B36567"/>
    <w:rsid w:val="00B817B2"/>
    <w:rsid w:val="00BF2A89"/>
    <w:rsid w:val="00C17414"/>
    <w:rsid w:val="00C26DE7"/>
    <w:rsid w:val="00C42E6F"/>
    <w:rsid w:val="00C82E66"/>
    <w:rsid w:val="00C842EB"/>
    <w:rsid w:val="00C97A9A"/>
    <w:rsid w:val="00CA65E7"/>
    <w:rsid w:val="00CB537B"/>
    <w:rsid w:val="00CD2C76"/>
    <w:rsid w:val="00D06950"/>
    <w:rsid w:val="00D212EE"/>
    <w:rsid w:val="00D31ADD"/>
    <w:rsid w:val="00D61AE5"/>
    <w:rsid w:val="00D658F2"/>
    <w:rsid w:val="00D73693"/>
    <w:rsid w:val="00D91EC5"/>
    <w:rsid w:val="00D97375"/>
    <w:rsid w:val="00DA08B3"/>
    <w:rsid w:val="00DB4CCA"/>
    <w:rsid w:val="00DE1799"/>
    <w:rsid w:val="00DF6C57"/>
    <w:rsid w:val="00E13C08"/>
    <w:rsid w:val="00E2273E"/>
    <w:rsid w:val="00E23184"/>
    <w:rsid w:val="00E40989"/>
    <w:rsid w:val="00E4684E"/>
    <w:rsid w:val="00E57EA3"/>
    <w:rsid w:val="00E73366"/>
    <w:rsid w:val="00E7499A"/>
    <w:rsid w:val="00E91B72"/>
    <w:rsid w:val="00E96750"/>
    <w:rsid w:val="00EA33BA"/>
    <w:rsid w:val="00EB7051"/>
    <w:rsid w:val="00ED13AD"/>
    <w:rsid w:val="00EF1D4E"/>
    <w:rsid w:val="00F02B65"/>
    <w:rsid w:val="00F1235A"/>
    <w:rsid w:val="00F32B20"/>
    <w:rsid w:val="00F46AD0"/>
    <w:rsid w:val="00F477D4"/>
    <w:rsid w:val="00F57C70"/>
    <w:rsid w:val="00F875D4"/>
    <w:rsid w:val="00FA36D5"/>
    <w:rsid w:val="00FE051E"/>
    <w:rsid w:val="00FE06C3"/>
    <w:rsid w:val="00FE6A96"/>
    <w:rsid w:val="00FF15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D9814"/>
  <w15:chartTrackingRefBased/>
  <w15:docId w15:val="{FCCFDAF6-E3A8-4263-99FA-C47DBE49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B12"/>
    <w:rPr>
      <w:lang w:val="tr-TR"/>
    </w:rPr>
  </w:style>
  <w:style w:type="paragraph" w:styleId="Heading1">
    <w:name w:val="heading 1"/>
    <w:basedOn w:val="Normal"/>
    <w:next w:val="Normal"/>
    <w:link w:val="Heading1Char"/>
    <w:uiPriority w:val="9"/>
    <w:qFormat/>
    <w:rsid w:val="00D61AE5"/>
    <w:pPr>
      <w:outlineLvl w:val="0"/>
    </w:pPr>
    <w:rPr>
      <w:rFonts w:asciiTheme="majorBidi" w:hAnsiTheme="majorBidi" w:cstheme="majorBidi"/>
      <w:b/>
      <w:sz w:val="28"/>
      <w:szCs w:val="24"/>
    </w:rPr>
  </w:style>
  <w:style w:type="paragraph" w:styleId="Heading2">
    <w:name w:val="heading 2"/>
    <w:basedOn w:val="Normal"/>
    <w:next w:val="Normal"/>
    <w:link w:val="Heading2Char"/>
    <w:uiPriority w:val="9"/>
    <w:unhideWhenUsed/>
    <w:qFormat/>
    <w:rsid w:val="00D61AE5"/>
    <w:pPr>
      <w:keepNext/>
      <w:keepLines/>
      <w:spacing w:before="280"/>
      <w:outlineLvl w:val="1"/>
    </w:pPr>
    <w:rPr>
      <w:rFonts w:asciiTheme="majorBidi" w:eastAsiaTheme="majorEastAsia" w:hAnsiTheme="majorBidi" w:cstheme="majorBidi"/>
      <w:b/>
      <w:color w:val="000000" w:themeColor="text1"/>
      <w:sz w:val="28"/>
      <w:szCs w:val="32"/>
    </w:rPr>
  </w:style>
  <w:style w:type="paragraph" w:styleId="Heading3">
    <w:name w:val="heading 3"/>
    <w:basedOn w:val="Normal"/>
    <w:next w:val="Normal"/>
    <w:link w:val="Heading3Char"/>
    <w:uiPriority w:val="9"/>
    <w:unhideWhenUsed/>
    <w:qFormat/>
    <w:rsid w:val="00174D0D"/>
    <w:pPr>
      <w:keepNext/>
      <w:keepLines/>
      <w:spacing w:before="280"/>
      <w:outlineLvl w:val="2"/>
    </w:pPr>
    <w:rPr>
      <w:rFonts w:asciiTheme="majorBidi" w:eastAsiaTheme="majorEastAsia" w:hAnsiTheme="majorBidi" w:cstheme="majorBidi"/>
      <w:b/>
      <w:color w:val="000000" w:themeColor="text1"/>
      <w:sz w:val="24"/>
      <w:szCs w:val="28"/>
    </w:rPr>
  </w:style>
  <w:style w:type="paragraph" w:styleId="Heading4">
    <w:name w:val="heading 4"/>
    <w:basedOn w:val="Normal"/>
    <w:next w:val="Normal"/>
    <w:link w:val="Heading4Char"/>
    <w:uiPriority w:val="9"/>
    <w:unhideWhenUsed/>
    <w:qFormat/>
    <w:rsid w:val="00174D0D"/>
    <w:pPr>
      <w:keepNext/>
      <w:keepLines/>
      <w:spacing w:before="200" w:after="160"/>
      <w:outlineLvl w:val="3"/>
    </w:pPr>
    <w:rPr>
      <w:rFonts w:asciiTheme="majorBidi" w:eastAsiaTheme="majorEastAsia" w:hAnsiTheme="majorBidi" w:cstheme="majorBidi"/>
      <w:iCs/>
      <w:color w:val="000000" w:themeColor="text1"/>
      <w:sz w:val="24"/>
    </w:rPr>
  </w:style>
  <w:style w:type="paragraph" w:styleId="Heading5">
    <w:name w:val="heading 5"/>
    <w:basedOn w:val="Normal"/>
    <w:next w:val="Normal"/>
    <w:link w:val="Heading5Char"/>
    <w:uiPriority w:val="9"/>
    <w:semiHidden/>
    <w:unhideWhenUsed/>
    <w:qFormat/>
    <w:rsid w:val="009F5A5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F5A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A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A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A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AE5"/>
    <w:rPr>
      <w:rFonts w:asciiTheme="majorBidi" w:hAnsiTheme="majorBidi" w:cstheme="majorBidi"/>
      <w:b/>
      <w:sz w:val="28"/>
      <w:szCs w:val="24"/>
      <w:lang w:val="tr-TR"/>
    </w:rPr>
  </w:style>
  <w:style w:type="character" w:customStyle="1" w:styleId="Heading2Char">
    <w:name w:val="Heading 2 Char"/>
    <w:basedOn w:val="DefaultParagraphFont"/>
    <w:link w:val="Heading2"/>
    <w:uiPriority w:val="9"/>
    <w:rsid w:val="00D61AE5"/>
    <w:rPr>
      <w:rFonts w:asciiTheme="majorBidi" w:eastAsiaTheme="majorEastAsia" w:hAnsiTheme="majorBidi" w:cstheme="majorBidi"/>
      <w:b/>
      <w:color w:val="000000" w:themeColor="text1"/>
      <w:sz w:val="28"/>
      <w:szCs w:val="32"/>
      <w:lang w:val="tr-TR"/>
    </w:rPr>
  </w:style>
  <w:style w:type="character" w:customStyle="1" w:styleId="Heading3Char">
    <w:name w:val="Heading 3 Char"/>
    <w:basedOn w:val="DefaultParagraphFont"/>
    <w:link w:val="Heading3"/>
    <w:uiPriority w:val="9"/>
    <w:rsid w:val="00174D0D"/>
    <w:rPr>
      <w:rFonts w:asciiTheme="majorBidi" w:eastAsiaTheme="majorEastAsia" w:hAnsiTheme="majorBidi" w:cstheme="majorBidi"/>
      <w:b/>
      <w:color w:val="000000" w:themeColor="text1"/>
      <w:sz w:val="24"/>
      <w:szCs w:val="28"/>
      <w:lang w:val="tr-TR"/>
    </w:rPr>
  </w:style>
  <w:style w:type="character" w:customStyle="1" w:styleId="Heading4Char">
    <w:name w:val="Heading 4 Char"/>
    <w:basedOn w:val="DefaultParagraphFont"/>
    <w:link w:val="Heading4"/>
    <w:uiPriority w:val="9"/>
    <w:rsid w:val="00174D0D"/>
    <w:rPr>
      <w:rFonts w:asciiTheme="majorBidi" w:eastAsiaTheme="majorEastAsia" w:hAnsiTheme="majorBidi" w:cstheme="majorBidi"/>
      <w:iCs/>
      <w:color w:val="000000" w:themeColor="text1"/>
      <w:sz w:val="24"/>
      <w:lang w:val="tr-TR"/>
    </w:rPr>
  </w:style>
  <w:style w:type="character" w:customStyle="1" w:styleId="Heading5Char">
    <w:name w:val="Heading 5 Char"/>
    <w:basedOn w:val="DefaultParagraphFont"/>
    <w:link w:val="Heading5"/>
    <w:uiPriority w:val="9"/>
    <w:semiHidden/>
    <w:rsid w:val="009F5A5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F5A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A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A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A59"/>
    <w:rPr>
      <w:rFonts w:eastAsiaTheme="majorEastAsia" w:cstheme="majorBidi"/>
      <w:color w:val="272727" w:themeColor="text1" w:themeTint="D8"/>
    </w:rPr>
  </w:style>
  <w:style w:type="paragraph" w:styleId="Title">
    <w:name w:val="Title"/>
    <w:basedOn w:val="Normal"/>
    <w:next w:val="Normal"/>
    <w:link w:val="TitleChar"/>
    <w:uiPriority w:val="10"/>
    <w:qFormat/>
    <w:rsid w:val="009F5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A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A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5A59"/>
    <w:rPr>
      <w:i/>
      <w:iCs/>
      <w:color w:val="404040" w:themeColor="text1" w:themeTint="BF"/>
    </w:rPr>
  </w:style>
  <w:style w:type="paragraph" w:styleId="ListParagraph">
    <w:name w:val="List Paragraph"/>
    <w:basedOn w:val="Normal"/>
    <w:uiPriority w:val="34"/>
    <w:qFormat/>
    <w:rsid w:val="009F5A59"/>
    <w:pPr>
      <w:ind w:left="720"/>
      <w:contextualSpacing/>
    </w:pPr>
  </w:style>
  <w:style w:type="character" w:styleId="IntenseEmphasis">
    <w:name w:val="Intense Emphasis"/>
    <w:basedOn w:val="DefaultParagraphFont"/>
    <w:uiPriority w:val="21"/>
    <w:qFormat/>
    <w:rsid w:val="009F5A59"/>
    <w:rPr>
      <w:i/>
      <w:iCs/>
      <w:color w:val="365F91" w:themeColor="accent1" w:themeShade="BF"/>
    </w:rPr>
  </w:style>
  <w:style w:type="paragraph" w:styleId="IntenseQuote">
    <w:name w:val="Intense Quote"/>
    <w:basedOn w:val="Normal"/>
    <w:next w:val="Normal"/>
    <w:link w:val="IntenseQuoteChar"/>
    <w:uiPriority w:val="30"/>
    <w:qFormat/>
    <w:rsid w:val="009F5A5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F5A59"/>
    <w:rPr>
      <w:i/>
      <w:iCs/>
      <w:color w:val="365F91" w:themeColor="accent1" w:themeShade="BF"/>
    </w:rPr>
  </w:style>
  <w:style w:type="character" w:styleId="IntenseReference">
    <w:name w:val="Intense Reference"/>
    <w:basedOn w:val="DefaultParagraphFont"/>
    <w:uiPriority w:val="32"/>
    <w:qFormat/>
    <w:rsid w:val="009F5A59"/>
    <w:rPr>
      <w:b/>
      <w:bCs/>
      <w:smallCaps/>
      <w:color w:val="365F91" w:themeColor="accent1" w:themeShade="BF"/>
      <w:spacing w:val="5"/>
    </w:rPr>
  </w:style>
  <w:style w:type="paragraph" w:styleId="FootnoteText">
    <w:name w:val="footnote text"/>
    <w:basedOn w:val="Normal"/>
    <w:link w:val="FootnoteTextChar"/>
    <w:uiPriority w:val="99"/>
    <w:semiHidden/>
    <w:unhideWhenUsed/>
    <w:rsid w:val="009F5A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A59"/>
    <w:rPr>
      <w:sz w:val="20"/>
      <w:szCs w:val="20"/>
      <w:lang w:val="tr-TR"/>
    </w:rPr>
  </w:style>
  <w:style w:type="character" w:styleId="FootnoteReference">
    <w:name w:val="footnote reference"/>
    <w:basedOn w:val="DefaultParagraphFont"/>
    <w:uiPriority w:val="99"/>
    <w:semiHidden/>
    <w:unhideWhenUsed/>
    <w:rsid w:val="009F5A59"/>
    <w:rPr>
      <w:vertAlign w:val="superscript"/>
    </w:rPr>
  </w:style>
  <w:style w:type="character" w:styleId="Hyperlink">
    <w:name w:val="Hyperlink"/>
    <w:basedOn w:val="DefaultParagraphFont"/>
    <w:uiPriority w:val="99"/>
    <w:unhideWhenUsed/>
    <w:rsid w:val="00543A62"/>
    <w:rPr>
      <w:color w:val="0000FF" w:themeColor="hyperlink"/>
      <w:u w:val="single"/>
    </w:rPr>
  </w:style>
  <w:style w:type="character" w:styleId="UnresolvedMention">
    <w:name w:val="Unresolved Mention"/>
    <w:basedOn w:val="DefaultParagraphFont"/>
    <w:uiPriority w:val="99"/>
    <w:semiHidden/>
    <w:unhideWhenUsed/>
    <w:rsid w:val="00543A62"/>
    <w:rPr>
      <w:color w:val="605E5C"/>
      <w:shd w:val="clear" w:color="auto" w:fill="E1DFDD"/>
    </w:rPr>
  </w:style>
  <w:style w:type="paragraph" w:styleId="Bibliography">
    <w:name w:val="Bibliography"/>
    <w:basedOn w:val="Normal"/>
    <w:next w:val="Normal"/>
    <w:uiPriority w:val="37"/>
    <w:unhideWhenUsed/>
    <w:rsid w:val="001874EA"/>
    <w:pPr>
      <w:spacing w:after="0" w:line="240" w:lineRule="auto"/>
      <w:ind w:left="720" w:hanging="720"/>
    </w:pPr>
  </w:style>
  <w:style w:type="paragraph" w:styleId="TOCHeading">
    <w:name w:val="TOC Heading"/>
    <w:basedOn w:val="Heading1"/>
    <w:next w:val="Normal"/>
    <w:uiPriority w:val="39"/>
    <w:unhideWhenUsed/>
    <w:qFormat/>
    <w:rsid w:val="00174D0D"/>
    <w:pPr>
      <w:keepNext/>
      <w:keepLines/>
      <w:spacing w:before="240" w:after="0" w:line="259" w:lineRule="auto"/>
      <w:outlineLvl w:val="9"/>
    </w:pPr>
    <w:rPr>
      <w:rFonts w:asciiTheme="majorHAnsi" w:eastAsiaTheme="majorEastAsia" w:hAnsiTheme="majorHAnsi"/>
      <w:b w:val="0"/>
      <w:color w:val="365F91" w:themeColor="accent1" w:themeShade="BF"/>
      <w:kern w:val="0"/>
      <w:sz w:val="32"/>
      <w:szCs w:val="32"/>
      <w:lang w:val="en-US"/>
      <w14:ligatures w14:val="none"/>
    </w:rPr>
  </w:style>
  <w:style w:type="paragraph" w:styleId="TOC1">
    <w:name w:val="toc 1"/>
    <w:basedOn w:val="Normal"/>
    <w:next w:val="Normal"/>
    <w:autoRedefine/>
    <w:uiPriority w:val="39"/>
    <w:unhideWhenUsed/>
    <w:rsid w:val="00033569"/>
    <w:pPr>
      <w:tabs>
        <w:tab w:val="right" w:leader="dot" w:pos="9350"/>
      </w:tabs>
      <w:spacing w:after="100" w:line="360" w:lineRule="auto"/>
    </w:pPr>
  </w:style>
  <w:style w:type="paragraph" w:styleId="TOC2">
    <w:name w:val="toc 2"/>
    <w:basedOn w:val="Normal"/>
    <w:next w:val="Normal"/>
    <w:autoRedefine/>
    <w:uiPriority w:val="39"/>
    <w:unhideWhenUsed/>
    <w:rsid w:val="00174D0D"/>
    <w:pPr>
      <w:spacing w:after="100"/>
      <w:ind w:left="220"/>
    </w:pPr>
  </w:style>
  <w:style w:type="paragraph" w:styleId="TOC3">
    <w:name w:val="toc 3"/>
    <w:basedOn w:val="Normal"/>
    <w:next w:val="Normal"/>
    <w:autoRedefine/>
    <w:uiPriority w:val="39"/>
    <w:unhideWhenUsed/>
    <w:rsid w:val="00174D0D"/>
    <w:pPr>
      <w:spacing w:after="100"/>
      <w:ind w:left="440"/>
    </w:pPr>
  </w:style>
  <w:style w:type="paragraph" w:styleId="TOC4">
    <w:name w:val="toc 4"/>
    <w:basedOn w:val="Normal"/>
    <w:next w:val="Normal"/>
    <w:autoRedefine/>
    <w:uiPriority w:val="39"/>
    <w:unhideWhenUsed/>
    <w:rsid w:val="00174D0D"/>
    <w:pPr>
      <w:spacing w:after="100"/>
      <w:ind w:left="660"/>
    </w:pPr>
  </w:style>
  <w:style w:type="paragraph" w:styleId="Header">
    <w:name w:val="header"/>
    <w:basedOn w:val="Normal"/>
    <w:link w:val="HeaderChar"/>
    <w:uiPriority w:val="99"/>
    <w:unhideWhenUsed/>
    <w:rsid w:val="00EB7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051"/>
    <w:rPr>
      <w:lang w:val="tr-TR"/>
    </w:rPr>
  </w:style>
  <w:style w:type="paragraph" w:styleId="Footer">
    <w:name w:val="footer"/>
    <w:basedOn w:val="Normal"/>
    <w:link w:val="FooterChar"/>
    <w:uiPriority w:val="99"/>
    <w:unhideWhenUsed/>
    <w:rsid w:val="00EB7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051"/>
    <w:rPr>
      <w:lang w:val="tr-TR"/>
    </w:rPr>
  </w:style>
  <w:style w:type="paragraph" w:styleId="EndnoteText">
    <w:name w:val="endnote text"/>
    <w:basedOn w:val="Normal"/>
    <w:link w:val="EndnoteTextChar"/>
    <w:uiPriority w:val="99"/>
    <w:semiHidden/>
    <w:unhideWhenUsed/>
    <w:rsid w:val="00830B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30BF6"/>
    <w:rPr>
      <w:sz w:val="20"/>
      <w:szCs w:val="20"/>
      <w:lang w:val="tr-TR"/>
    </w:rPr>
  </w:style>
  <w:style w:type="character" w:styleId="EndnoteReference">
    <w:name w:val="endnote reference"/>
    <w:basedOn w:val="DefaultParagraphFont"/>
    <w:uiPriority w:val="99"/>
    <w:semiHidden/>
    <w:unhideWhenUsed/>
    <w:rsid w:val="00830B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35">
      <w:bodyDiv w:val="1"/>
      <w:marLeft w:val="0"/>
      <w:marRight w:val="0"/>
      <w:marTop w:val="0"/>
      <w:marBottom w:val="0"/>
      <w:divBdr>
        <w:top w:val="none" w:sz="0" w:space="0" w:color="auto"/>
        <w:left w:val="none" w:sz="0" w:space="0" w:color="auto"/>
        <w:bottom w:val="none" w:sz="0" w:space="0" w:color="auto"/>
        <w:right w:val="none" w:sz="0" w:space="0" w:color="auto"/>
      </w:divBdr>
    </w:div>
    <w:div w:id="27143587">
      <w:bodyDiv w:val="1"/>
      <w:marLeft w:val="0"/>
      <w:marRight w:val="0"/>
      <w:marTop w:val="0"/>
      <w:marBottom w:val="0"/>
      <w:divBdr>
        <w:top w:val="none" w:sz="0" w:space="0" w:color="auto"/>
        <w:left w:val="none" w:sz="0" w:space="0" w:color="auto"/>
        <w:bottom w:val="none" w:sz="0" w:space="0" w:color="auto"/>
        <w:right w:val="none" w:sz="0" w:space="0" w:color="auto"/>
      </w:divBdr>
    </w:div>
    <w:div w:id="367409780">
      <w:bodyDiv w:val="1"/>
      <w:marLeft w:val="0"/>
      <w:marRight w:val="0"/>
      <w:marTop w:val="0"/>
      <w:marBottom w:val="0"/>
      <w:divBdr>
        <w:top w:val="none" w:sz="0" w:space="0" w:color="auto"/>
        <w:left w:val="none" w:sz="0" w:space="0" w:color="auto"/>
        <w:bottom w:val="none" w:sz="0" w:space="0" w:color="auto"/>
        <w:right w:val="none" w:sz="0" w:space="0" w:color="auto"/>
      </w:divBdr>
    </w:div>
    <w:div w:id="450051165">
      <w:bodyDiv w:val="1"/>
      <w:marLeft w:val="0"/>
      <w:marRight w:val="0"/>
      <w:marTop w:val="0"/>
      <w:marBottom w:val="0"/>
      <w:divBdr>
        <w:top w:val="none" w:sz="0" w:space="0" w:color="auto"/>
        <w:left w:val="none" w:sz="0" w:space="0" w:color="auto"/>
        <w:bottom w:val="none" w:sz="0" w:space="0" w:color="auto"/>
        <w:right w:val="none" w:sz="0" w:space="0" w:color="auto"/>
      </w:divBdr>
    </w:div>
    <w:div w:id="531849148">
      <w:bodyDiv w:val="1"/>
      <w:marLeft w:val="0"/>
      <w:marRight w:val="0"/>
      <w:marTop w:val="0"/>
      <w:marBottom w:val="0"/>
      <w:divBdr>
        <w:top w:val="none" w:sz="0" w:space="0" w:color="auto"/>
        <w:left w:val="none" w:sz="0" w:space="0" w:color="auto"/>
        <w:bottom w:val="none" w:sz="0" w:space="0" w:color="auto"/>
        <w:right w:val="none" w:sz="0" w:space="0" w:color="auto"/>
      </w:divBdr>
    </w:div>
    <w:div w:id="576477626">
      <w:bodyDiv w:val="1"/>
      <w:marLeft w:val="0"/>
      <w:marRight w:val="0"/>
      <w:marTop w:val="0"/>
      <w:marBottom w:val="0"/>
      <w:divBdr>
        <w:top w:val="none" w:sz="0" w:space="0" w:color="auto"/>
        <w:left w:val="none" w:sz="0" w:space="0" w:color="auto"/>
        <w:bottom w:val="none" w:sz="0" w:space="0" w:color="auto"/>
        <w:right w:val="none" w:sz="0" w:space="0" w:color="auto"/>
      </w:divBdr>
    </w:div>
    <w:div w:id="596065236">
      <w:bodyDiv w:val="1"/>
      <w:marLeft w:val="0"/>
      <w:marRight w:val="0"/>
      <w:marTop w:val="0"/>
      <w:marBottom w:val="0"/>
      <w:divBdr>
        <w:top w:val="none" w:sz="0" w:space="0" w:color="auto"/>
        <w:left w:val="none" w:sz="0" w:space="0" w:color="auto"/>
        <w:bottom w:val="none" w:sz="0" w:space="0" w:color="auto"/>
        <w:right w:val="none" w:sz="0" w:space="0" w:color="auto"/>
      </w:divBdr>
    </w:div>
    <w:div w:id="650983138">
      <w:bodyDiv w:val="1"/>
      <w:marLeft w:val="0"/>
      <w:marRight w:val="0"/>
      <w:marTop w:val="0"/>
      <w:marBottom w:val="0"/>
      <w:divBdr>
        <w:top w:val="none" w:sz="0" w:space="0" w:color="auto"/>
        <w:left w:val="none" w:sz="0" w:space="0" w:color="auto"/>
        <w:bottom w:val="none" w:sz="0" w:space="0" w:color="auto"/>
        <w:right w:val="none" w:sz="0" w:space="0" w:color="auto"/>
      </w:divBdr>
    </w:div>
    <w:div w:id="826475117">
      <w:bodyDiv w:val="1"/>
      <w:marLeft w:val="0"/>
      <w:marRight w:val="0"/>
      <w:marTop w:val="0"/>
      <w:marBottom w:val="0"/>
      <w:divBdr>
        <w:top w:val="none" w:sz="0" w:space="0" w:color="auto"/>
        <w:left w:val="none" w:sz="0" w:space="0" w:color="auto"/>
        <w:bottom w:val="none" w:sz="0" w:space="0" w:color="auto"/>
        <w:right w:val="none" w:sz="0" w:space="0" w:color="auto"/>
      </w:divBdr>
    </w:div>
    <w:div w:id="832449944">
      <w:bodyDiv w:val="1"/>
      <w:marLeft w:val="0"/>
      <w:marRight w:val="0"/>
      <w:marTop w:val="0"/>
      <w:marBottom w:val="0"/>
      <w:divBdr>
        <w:top w:val="none" w:sz="0" w:space="0" w:color="auto"/>
        <w:left w:val="none" w:sz="0" w:space="0" w:color="auto"/>
        <w:bottom w:val="none" w:sz="0" w:space="0" w:color="auto"/>
        <w:right w:val="none" w:sz="0" w:space="0" w:color="auto"/>
      </w:divBdr>
    </w:div>
    <w:div w:id="856770876">
      <w:bodyDiv w:val="1"/>
      <w:marLeft w:val="0"/>
      <w:marRight w:val="0"/>
      <w:marTop w:val="0"/>
      <w:marBottom w:val="0"/>
      <w:divBdr>
        <w:top w:val="none" w:sz="0" w:space="0" w:color="auto"/>
        <w:left w:val="none" w:sz="0" w:space="0" w:color="auto"/>
        <w:bottom w:val="none" w:sz="0" w:space="0" w:color="auto"/>
        <w:right w:val="none" w:sz="0" w:space="0" w:color="auto"/>
      </w:divBdr>
    </w:div>
    <w:div w:id="1044867667">
      <w:bodyDiv w:val="1"/>
      <w:marLeft w:val="0"/>
      <w:marRight w:val="0"/>
      <w:marTop w:val="0"/>
      <w:marBottom w:val="0"/>
      <w:divBdr>
        <w:top w:val="none" w:sz="0" w:space="0" w:color="auto"/>
        <w:left w:val="none" w:sz="0" w:space="0" w:color="auto"/>
        <w:bottom w:val="none" w:sz="0" w:space="0" w:color="auto"/>
        <w:right w:val="none" w:sz="0" w:space="0" w:color="auto"/>
      </w:divBdr>
    </w:div>
    <w:div w:id="1059666859">
      <w:bodyDiv w:val="1"/>
      <w:marLeft w:val="0"/>
      <w:marRight w:val="0"/>
      <w:marTop w:val="0"/>
      <w:marBottom w:val="0"/>
      <w:divBdr>
        <w:top w:val="none" w:sz="0" w:space="0" w:color="auto"/>
        <w:left w:val="none" w:sz="0" w:space="0" w:color="auto"/>
        <w:bottom w:val="none" w:sz="0" w:space="0" w:color="auto"/>
        <w:right w:val="none" w:sz="0" w:space="0" w:color="auto"/>
      </w:divBdr>
    </w:div>
    <w:div w:id="1308051984">
      <w:bodyDiv w:val="1"/>
      <w:marLeft w:val="0"/>
      <w:marRight w:val="0"/>
      <w:marTop w:val="0"/>
      <w:marBottom w:val="0"/>
      <w:divBdr>
        <w:top w:val="none" w:sz="0" w:space="0" w:color="auto"/>
        <w:left w:val="none" w:sz="0" w:space="0" w:color="auto"/>
        <w:bottom w:val="none" w:sz="0" w:space="0" w:color="auto"/>
        <w:right w:val="none" w:sz="0" w:space="0" w:color="auto"/>
      </w:divBdr>
    </w:div>
    <w:div w:id="1368288839">
      <w:bodyDiv w:val="1"/>
      <w:marLeft w:val="0"/>
      <w:marRight w:val="0"/>
      <w:marTop w:val="0"/>
      <w:marBottom w:val="0"/>
      <w:divBdr>
        <w:top w:val="none" w:sz="0" w:space="0" w:color="auto"/>
        <w:left w:val="none" w:sz="0" w:space="0" w:color="auto"/>
        <w:bottom w:val="none" w:sz="0" w:space="0" w:color="auto"/>
        <w:right w:val="none" w:sz="0" w:space="0" w:color="auto"/>
      </w:divBdr>
    </w:div>
    <w:div w:id="1483234849">
      <w:bodyDiv w:val="1"/>
      <w:marLeft w:val="0"/>
      <w:marRight w:val="0"/>
      <w:marTop w:val="0"/>
      <w:marBottom w:val="0"/>
      <w:divBdr>
        <w:top w:val="none" w:sz="0" w:space="0" w:color="auto"/>
        <w:left w:val="none" w:sz="0" w:space="0" w:color="auto"/>
        <w:bottom w:val="none" w:sz="0" w:space="0" w:color="auto"/>
        <w:right w:val="none" w:sz="0" w:space="0" w:color="auto"/>
      </w:divBdr>
    </w:div>
    <w:div w:id="1695419028">
      <w:bodyDiv w:val="1"/>
      <w:marLeft w:val="0"/>
      <w:marRight w:val="0"/>
      <w:marTop w:val="0"/>
      <w:marBottom w:val="0"/>
      <w:divBdr>
        <w:top w:val="none" w:sz="0" w:space="0" w:color="auto"/>
        <w:left w:val="none" w:sz="0" w:space="0" w:color="auto"/>
        <w:bottom w:val="none" w:sz="0" w:space="0" w:color="auto"/>
        <w:right w:val="none" w:sz="0" w:space="0" w:color="auto"/>
      </w:divBdr>
    </w:div>
    <w:div w:id="1736122387">
      <w:bodyDiv w:val="1"/>
      <w:marLeft w:val="0"/>
      <w:marRight w:val="0"/>
      <w:marTop w:val="0"/>
      <w:marBottom w:val="0"/>
      <w:divBdr>
        <w:top w:val="none" w:sz="0" w:space="0" w:color="auto"/>
        <w:left w:val="none" w:sz="0" w:space="0" w:color="auto"/>
        <w:bottom w:val="none" w:sz="0" w:space="0" w:color="auto"/>
        <w:right w:val="none" w:sz="0" w:space="0" w:color="auto"/>
      </w:divBdr>
    </w:div>
    <w:div w:id="1995182032">
      <w:bodyDiv w:val="1"/>
      <w:marLeft w:val="0"/>
      <w:marRight w:val="0"/>
      <w:marTop w:val="0"/>
      <w:marBottom w:val="0"/>
      <w:divBdr>
        <w:top w:val="none" w:sz="0" w:space="0" w:color="auto"/>
        <w:left w:val="none" w:sz="0" w:space="0" w:color="auto"/>
        <w:bottom w:val="none" w:sz="0" w:space="0" w:color="auto"/>
        <w:right w:val="none" w:sz="0" w:space="0" w:color="auto"/>
      </w:divBdr>
      <w:divsChild>
        <w:div w:id="273296041">
          <w:marLeft w:val="0"/>
          <w:marRight w:val="0"/>
          <w:marTop w:val="0"/>
          <w:marBottom w:val="0"/>
          <w:divBdr>
            <w:top w:val="none" w:sz="0" w:space="0" w:color="auto"/>
            <w:left w:val="none" w:sz="0" w:space="0" w:color="auto"/>
            <w:bottom w:val="none" w:sz="0" w:space="0" w:color="auto"/>
            <w:right w:val="none" w:sz="0" w:space="0" w:color="auto"/>
          </w:divBdr>
        </w:div>
        <w:div w:id="581794936">
          <w:marLeft w:val="0"/>
          <w:marRight w:val="0"/>
          <w:marTop w:val="0"/>
          <w:marBottom w:val="0"/>
          <w:divBdr>
            <w:top w:val="none" w:sz="0" w:space="0" w:color="auto"/>
            <w:left w:val="none" w:sz="0" w:space="0" w:color="auto"/>
            <w:bottom w:val="none" w:sz="0" w:space="0" w:color="auto"/>
            <w:right w:val="none" w:sz="0" w:space="0" w:color="auto"/>
          </w:divBdr>
        </w:div>
        <w:div w:id="654189785">
          <w:marLeft w:val="0"/>
          <w:marRight w:val="0"/>
          <w:marTop w:val="0"/>
          <w:marBottom w:val="0"/>
          <w:divBdr>
            <w:top w:val="none" w:sz="0" w:space="0" w:color="auto"/>
            <w:left w:val="none" w:sz="0" w:space="0" w:color="auto"/>
            <w:bottom w:val="none" w:sz="0" w:space="0" w:color="auto"/>
            <w:right w:val="none" w:sz="0" w:space="0" w:color="auto"/>
          </w:divBdr>
        </w:div>
        <w:div w:id="506754088">
          <w:marLeft w:val="0"/>
          <w:marRight w:val="0"/>
          <w:marTop w:val="0"/>
          <w:marBottom w:val="0"/>
          <w:divBdr>
            <w:top w:val="none" w:sz="0" w:space="0" w:color="auto"/>
            <w:left w:val="none" w:sz="0" w:space="0" w:color="auto"/>
            <w:bottom w:val="none" w:sz="0" w:space="0" w:color="auto"/>
            <w:right w:val="none" w:sz="0" w:space="0" w:color="auto"/>
          </w:divBdr>
        </w:div>
        <w:div w:id="1163474884">
          <w:marLeft w:val="0"/>
          <w:marRight w:val="0"/>
          <w:marTop w:val="0"/>
          <w:marBottom w:val="0"/>
          <w:divBdr>
            <w:top w:val="none" w:sz="0" w:space="0" w:color="auto"/>
            <w:left w:val="none" w:sz="0" w:space="0" w:color="auto"/>
            <w:bottom w:val="none" w:sz="0" w:space="0" w:color="auto"/>
            <w:right w:val="none" w:sz="0" w:space="0" w:color="auto"/>
          </w:divBdr>
        </w:div>
        <w:div w:id="1843202975">
          <w:marLeft w:val="0"/>
          <w:marRight w:val="0"/>
          <w:marTop w:val="0"/>
          <w:marBottom w:val="0"/>
          <w:divBdr>
            <w:top w:val="none" w:sz="0" w:space="0" w:color="auto"/>
            <w:left w:val="none" w:sz="0" w:space="0" w:color="auto"/>
            <w:bottom w:val="none" w:sz="0" w:space="0" w:color="auto"/>
            <w:right w:val="none" w:sz="0" w:space="0" w:color="auto"/>
          </w:divBdr>
        </w:div>
        <w:div w:id="1355614171">
          <w:marLeft w:val="0"/>
          <w:marRight w:val="0"/>
          <w:marTop w:val="0"/>
          <w:marBottom w:val="0"/>
          <w:divBdr>
            <w:top w:val="none" w:sz="0" w:space="0" w:color="auto"/>
            <w:left w:val="none" w:sz="0" w:space="0" w:color="auto"/>
            <w:bottom w:val="none" w:sz="0" w:space="0" w:color="auto"/>
            <w:right w:val="none" w:sz="0" w:space="0" w:color="auto"/>
          </w:divBdr>
        </w:div>
        <w:div w:id="1488938984">
          <w:marLeft w:val="0"/>
          <w:marRight w:val="0"/>
          <w:marTop w:val="0"/>
          <w:marBottom w:val="0"/>
          <w:divBdr>
            <w:top w:val="none" w:sz="0" w:space="0" w:color="auto"/>
            <w:left w:val="none" w:sz="0" w:space="0" w:color="auto"/>
            <w:bottom w:val="none" w:sz="0" w:space="0" w:color="auto"/>
            <w:right w:val="none" w:sz="0" w:space="0" w:color="auto"/>
          </w:divBdr>
        </w:div>
        <w:div w:id="1437676628">
          <w:marLeft w:val="0"/>
          <w:marRight w:val="0"/>
          <w:marTop w:val="0"/>
          <w:marBottom w:val="0"/>
          <w:divBdr>
            <w:top w:val="none" w:sz="0" w:space="0" w:color="auto"/>
            <w:left w:val="none" w:sz="0" w:space="0" w:color="auto"/>
            <w:bottom w:val="none" w:sz="0" w:space="0" w:color="auto"/>
            <w:right w:val="none" w:sz="0" w:space="0" w:color="auto"/>
          </w:divBdr>
        </w:div>
        <w:div w:id="310331813">
          <w:marLeft w:val="0"/>
          <w:marRight w:val="0"/>
          <w:marTop w:val="0"/>
          <w:marBottom w:val="0"/>
          <w:divBdr>
            <w:top w:val="none" w:sz="0" w:space="0" w:color="auto"/>
            <w:left w:val="none" w:sz="0" w:space="0" w:color="auto"/>
            <w:bottom w:val="none" w:sz="0" w:space="0" w:color="auto"/>
            <w:right w:val="none" w:sz="0" w:space="0" w:color="auto"/>
          </w:divBdr>
        </w:div>
        <w:div w:id="1808931583">
          <w:marLeft w:val="0"/>
          <w:marRight w:val="0"/>
          <w:marTop w:val="0"/>
          <w:marBottom w:val="0"/>
          <w:divBdr>
            <w:top w:val="none" w:sz="0" w:space="0" w:color="auto"/>
            <w:left w:val="none" w:sz="0" w:space="0" w:color="auto"/>
            <w:bottom w:val="none" w:sz="0" w:space="0" w:color="auto"/>
            <w:right w:val="none" w:sz="0" w:space="0" w:color="auto"/>
          </w:divBdr>
        </w:div>
        <w:div w:id="872425147">
          <w:marLeft w:val="0"/>
          <w:marRight w:val="0"/>
          <w:marTop w:val="0"/>
          <w:marBottom w:val="0"/>
          <w:divBdr>
            <w:top w:val="none" w:sz="0" w:space="0" w:color="auto"/>
            <w:left w:val="none" w:sz="0" w:space="0" w:color="auto"/>
            <w:bottom w:val="none" w:sz="0" w:space="0" w:color="auto"/>
            <w:right w:val="none" w:sz="0" w:space="0" w:color="auto"/>
          </w:divBdr>
        </w:div>
        <w:div w:id="1491797671">
          <w:marLeft w:val="0"/>
          <w:marRight w:val="0"/>
          <w:marTop w:val="0"/>
          <w:marBottom w:val="0"/>
          <w:divBdr>
            <w:top w:val="none" w:sz="0" w:space="0" w:color="auto"/>
            <w:left w:val="none" w:sz="0" w:space="0" w:color="auto"/>
            <w:bottom w:val="none" w:sz="0" w:space="0" w:color="auto"/>
            <w:right w:val="none" w:sz="0" w:space="0" w:color="auto"/>
          </w:divBdr>
        </w:div>
        <w:div w:id="1209105831">
          <w:marLeft w:val="0"/>
          <w:marRight w:val="0"/>
          <w:marTop w:val="0"/>
          <w:marBottom w:val="0"/>
          <w:divBdr>
            <w:top w:val="none" w:sz="0" w:space="0" w:color="auto"/>
            <w:left w:val="none" w:sz="0" w:space="0" w:color="auto"/>
            <w:bottom w:val="none" w:sz="0" w:space="0" w:color="auto"/>
            <w:right w:val="none" w:sz="0" w:space="0" w:color="auto"/>
          </w:divBdr>
        </w:div>
        <w:div w:id="340013187">
          <w:marLeft w:val="0"/>
          <w:marRight w:val="0"/>
          <w:marTop w:val="0"/>
          <w:marBottom w:val="0"/>
          <w:divBdr>
            <w:top w:val="none" w:sz="0" w:space="0" w:color="auto"/>
            <w:left w:val="none" w:sz="0" w:space="0" w:color="auto"/>
            <w:bottom w:val="none" w:sz="0" w:space="0" w:color="auto"/>
            <w:right w:val="none" w:sz="0" w:space="0" w:color="auto"/>
          </w:divBdr>
        </w:div>
        <w:div w:id="785468404">
          <w:marLeft w:val="0"/>
          <w:marRight w:val="0"/>
          <w:marTop w:val="0"/>
          <w:marBottom w:val="0"/>
          <w:divBdr>
            <w:top w:val="none" w:sz="0" w:space="0" w:color="auto"/>
            <w:left w:val="none" w:sz="0" w:space="0" w:color="auto"/>
            <w:bottom w:val="none" w:sz="0" w:space="0" w:color="auto"/>
            <w:right w:val="none" w:sz="0" w:space="0" w:color="auto"/>
          </w:divBdr>
        </w:div>
        <w:div w:id="1638678090">
          <w:marLeft w:val="0"/>
          <w:marRight w:val="0"/>
          <w:marTop w:val="0"/>
          <w:marBottom w:val="0"/>
          <w:divBdr>
            <w:top w:val="none" w:sz="0" w:space="0" w:color="auto"/>
            <w:left w:val="none" w:sz="0" w:space="0" w:color="auto"/>
            <w:bottom w:val="none" w:sz="0" w:space="0" w:color="auto"/>
            <w:right w:val="none" w:sz="0" w:space="0" w:color="auto"/>
          </w:divBdr>
        </w:div>
        <w:div w:id="701828413">
          <w:marLeft w:val="0"/>
          <w:marRight w:val="0"/>
          <w:marTop w:val="0"/>
          <w:marBottom w:val="0"/>
          <w:divBdr>
            <w:top w:val="none" w:sz="0" w:space="0" w:color="auto"/>
            <w:left w:val="none" w:sz="0" w:space="0" w:color="auto"/>
            <w:bottom w:val="none" w:sz="0" w:space="0" w:color="auto"/>
            <w:right w:val="none" w:sz="0" w:space="0" w:color="auto"/>
          </w:divBdr>
        </w:div>
        <w:div w:id="1894388670">
          <w:marLeft w:val="0"/>
          <w:marRight w:val="0"/>
          <w:marTop w:val="0"/>
          <w:marBottom w:val="0"/>
          <w:divBdr>
            <w:top w:val="none" w:sz="0" w:space="0" w:color="auto"/>
            <w:left w:val="none" w:sz="0" w:space="0" w:color="auto"/>
            <w:bottom w:val="none" w:sz="0" w:space="0" w:color="auto"/>
            <w:right w:val="none" w:sz="0" w:space="0" w:color="auto"/>
          </w:divBdr>
        </w:div>
      </w:divsChild>
    </w:div>
    <w:div w:id="2041201347">
      <w:bodyDiv w:val="1"/>
      <w:marLeft w:val="0"/>
      <w:marRight w:val="0"/>
      <w:marTop w:val="0"/>
      <w:marBottom w:val="0"/>
      <w:divBdr>
        <w:top w:val="none" w:sz="0" w:space="0" w:color="auto"/>
        <w:left w:val="none" w:sz="0" w:space="0" w:color="auto"/>
        <w:bottom w:val="none" w:sz="0" w:space="0" w:color="auto"/>
        <w:right w:val="none" w:sz="0" w:space="0" w:color="auto"/>
      </w:divBdr>
      <w:divsChild>
        <w:div w:id="774444708">
          <w:marLeft w:val="0"/>
          <w:marRight w:val="0"/>
          <w:marTop w:val="0"/>
          <w:marBottom w:val="0"/>
          <w:divBdr>
            <w:top w:val="none" w:sz="0" w:space="0" w:color="auto"/>
            <w:left w:val="none" w:sz="0" w:space="0" w:color="auto"/>
            <w:bottom w:val="none" w:sz="0" w:space="0" w:color="auto"/>
            <w:right w:val="none" w:sz="0" w:space="0" w:color="auto"/>
          </w:divBdr>
        </w:div>
        <w:div w:id="719668645">
          <w:marLeft w:val="0"/>
          <w:marRight w:val="0"/>
          <w:marTop w:val="0"/>
          <w:marBottom w:val="0"/>
          <w:divBdr>
            <w:top w:val="none" w:sz="0" w:space="0" w:color="auto"/>
            <w:left w:val="none" w:sz="0" w:space="0" w:color="auto"/>
            <w:bottom w:val="none" w:sz="0" w:space="0" w:color="auto"/>
            <w:right w:val="none" w:sz="0" w:space="0" w:color="auto"/>
          </w:divBdr>
        </w:div>
        <w:div w:id="1728412352">
          <w:marLeft w:val="0"/>
          <w:marRight w:val="0"/>
          <w:marTop w:val="0"/>
          <w:marBottom w:val="0"/>
          <w:divBdr>
            <w:top w:val="none" w:sz="0" w:space="0" w:color="auto"/>
            <w:left w:val="none" w:sz="0" w:space="0" w:color="auto"/>
            <w:bottom w:val="none" w:sz="0" w:space="0" w:color="auto"/>
            <w:right w:val="none" w:sz="0" w:space="0" w:color="auto"/>
          </w:divBdr>
        </w:div>
        <w:div w:id="962882240">
          <w:marLeft w:val="0"/>
          <w:marRight w:val="0"/>
          <w:marTop w:val="0"/>
          <w:marBottom w:val="0"/>
          <w:divBdr>
            <w:top w:val="none" w:sz="0" w:space="0" w:color="auto"/>
            <w:left w:val="none" w:sz="0" w:space="0" w:color="auto"/>
            <w:bottom w:val="none" w:sz="0" w:space="0" w:color="auto"/>
            <w:right w:val="none" w:sz="0" w:space="0" w:color="auto"/>
          </w:divBdr>
        </w:div>
        <w:div w:id="1733427597">
          <w:marLeft w:val="0"/>
          <w:marRight w:val="0"/>
          <w:marTop w:val="0"/>
          <w:marBottom w:val="0"/>
          <w:divBdr>
            <w:top w:val="none" w:sz="0" w:space="0" w:color="auto"/>
            <w:left w:val="none" w:sz="0" w:space="0" w:color="auto"/>
            <w:bottom w:val="none" w:sz="0" w:space="0" w:color="auto"/>
            <w:right w:val="none" w:sz="0" w:space="0" w:color="auto"/>
          </w:divBdr>
        </w:div>
        <w:div w:id="118187422">
          <w:marLeft w:val="0"/>
          <w:marRight w:val="0"/>
          <w:marTop w:val="0"/>
          <w:marBottom w:val="0"/>
          <w:divBdr>
            <w:top w:val="none" w:sz="0" w:space="0" w:color="auto"/>
            <w:left w:val="none" w:sz="0" w:space="0" w:color="auto"/>
            <w:bottom w:val="none" w:sz="0" w:space="0" w:color="auto"/>
            <w:right w:val="none" w:sz="0" w:space="0" w:color="auto"/>
          </w:divBdr>
        </w:div>
        <w:div w:id="248926070">
          <w:marLeft w:val="0"/>
          <w:marRight w:val="0"/>
          <w:marTop w:val="0"/>
          <w:marBottom w:val="0"/>
          <w:divBdr>
            <w:top w:val="none" w:sz="0" w:space="0" w:color="auto"/>
            <w:left w:val="none" w:sz="0" w:space="0" w:color="auto"/>
            <w:bottom w:val="none" w:sz="0" w:space="0" w:color="auto"/>
            <w:right w:val="none" w:sz="0" w:space="0" w:color="auto"/>
          </w:divBdr>
        </w:div>
        <w:div w:id="48650426">
          <w:marLeft w:val="0"/>
          <w:marRight w:val="0"/>
          <w:marTop w:val="0"/>
          <w:marBottom w:val="0"/>
          <w:divBdr>
            <w:top w:val="none" w:sz="0" w:space="0" w:color="auto"/>
            <w:left w:val="none" w:sz="0" w:space="0" w:color="auto"/>
            <w:bottom w:val="none" w:sz="0" w:space="0" w:color="auto"/>
            <w:right w:val="none" w:sz="0" w:space="0" w:color="auto"/>
          </w:divBdr>
        </w:div>
        <w:div w:id="1967159935">
          <w:marLeft w:val="0"/>
          <w:marRight w:val="0"/>
          <w:marTop w:val="0"/>
          <w:marBottom w:val="0"/>
          <w:divBdr>
            <w:top w:val="none" w:sz="0" w:space="0" w:color="auto"/>
            <w:left w:val="none" w:sz="0" w:space="0" w:color="auto"/>
            <w:bottom w:val="none" w:sz="0" w:space="0" w:color="auto"/>
            <w:right w:val="none" w:sz="0" w:space="0" w:color="auto"/>
          </w:divBdr>
        </w:div>
        <w:div w:id="2065567778">
          <w:marLeft w:val="0"/>
          <w:marRight w:val="0"/>
          <w:marTop w:val="0"/>
          <w:marBottom w:val="0"/>
          <w:divBdr>
            <w:top w:val="none" w:sz="0" w:space="0" w:color="auto"/>
            <w:left w:val="none" w:sz="0" w:space="0" w:color="auto"/>
            <w:bottom w:val="none" w:sz="0" w:space="0" w:color="auto"/>
            <w:right w:val="none" w:sz="0" w:space="0" w:color="auto"/>
          </w:divBdr>
        </w:div>
        <w:div w:id="1786000838">
          <w:marLeft w:val="0"/>
          <w:marRight w:val="0"/>
          <w:marTop w:val="0"/>
          <w:marBottom w:val="0"/>
          <w:divBdr>
            <w:top w:val="none" w:sz="0" w:space="0" w:color="auto"/>
            <w:left w:val="none" w:sz="0" w:space="0" w:color="auto"/>
            <w:bottom w:val="none" w:sz="0" w:space="0" w:color="auto"/>
            <w:right w:val="none" w:sz="0" w:space="0" w:color="auto"/>
          </w:divBdr>
        </w:div>
        <w:div w:id="191309386">
          <w:marLeft w:val="0"/>
          <w:marRight w:val="0"/>
          <w:marTop w:val="0"/>
          <w:marBottom w:val="0"/>
          <w:divBdr>
            <w:top w:val="none" w:sz="0" w:space="0" w:color="auto"/>
            <w:left w:val="none" w:sz="0" w:space="0" w:color="auto"/>
            <w:bottom w:val="none" w:sz="0" w:space="0" w:color="auto"/>
            <w:right w:val="none" w:sz="0" w:space="0" w:color="auto"/>
          </w:divBdr>
        </w:div>
        <w:div w:id="59597781">
          <w:marLeft w:val="0"/>
          <w:marRight w:val="0"/>
          <w:marTop w:val="0"/>
          <w:marBottom w:val="0"/>
          <w:divBdr>
            <w:top w:val="none" w:sz="0" w:space="0" w:color="auto"/>
            <w:left w:val="none" w:sz="0" w:space="0" w:color="auto"/>
            <w:bottom w:val="none" w:sz="0" w:space="0" w:color="auto"/>
            <w:right w:val="none" w:sz="0" w:space="0" w:color="auto"/>
          </w:divBdr>
        </w:div>
        <w:div w:id="18817099">
          <w:marLeft w:val="0"/>
          <w:marRight w:val="0"/>
          <w:marTop w:val="0"/>
          <w:marBottom w:val="0"/>
          <w:divBdr>
            <w:top w:val="none" w:sz="0" w:space="0" w:color="auto"/>
            <w:left w:val="none" w:sz="0" w:space="0" w:color="auto"/>
            <w:bottom w:val="none" w:sz="0" w:space="0" w:color="auto"/>
            <w:right w:val="none" w:sz="0" w:space="0" w:color="auto"/>
          </w:divBdr>
        </w:div>
        <w:div w:id="1801455733">
          <w:marLeft w:val="0"/>
          <w:marRight w:val="0"/>
          <w:marTop w:val="0"/>
          <w:marBottom w:val="0"/>
          <w:divBdr>
            <w:top w:val="none" w:sz="0" w:space="0" w:color="auto"/>
            <w:left w:val="none" w:sz="0" w:space="0" w:color="auto"/>
            <w:bottom w:val="none" w:sz="0" w:space="0" w:color="auto"/>
            <w:right w:val="none" w:sz="0" w:space="0" w:color="auto"/>
          </w:divBdr>
        </w:div>
        <w:div w:id="1885557287">
          <w:marLeft w:val="0"/>
          <w:marRight w:val="0"/>
          <w:marTop w:val="0"/>
          <w:marBottom w:val="0"/>
          <w:divBdr>
            <w:top w:val="none" w:sz="0" w:space="0" w:color="auto"/>
            <w:left w:val="none" w:sz="0" w:space="0" w:color="auto"/>
            <w:bottom w:val="none" w:sz="0" w:space="0" w:color="auto"/>
            <w:right w:val="none" w:sz="0" w:space="0" w:color="auto"/>
          </w:divBdr>
        </w:div>
        <w:div w:id="994575694">
          <w:marLeft w:val="0"/>
          <w:marRight w:val="0"/>
          <w:marTop w:val="0"/>
          <w:marBottom w:val="0"/>
          <w:divBdr>
            <w:top w:val="none" w:sz="0" w:space="0" w:color="auto"/>
            <w:left w:val="none" w:sz="0" w:space="0" w:color="auto"/>
            <w:bottom w:val="none" w:sz="0" w:space="0" w:color="auto"/>
            <w:right w:val="none" w:sz="0" w:space="0" w:color="auto"/>
          </w:divBdr>
        </w:div>
        <w:div w:id="152920479">
          <w:marLeft w:val="0"/>
          <w:marRight w:val="0"/>
          <w:marTop w:val="0"/>
          <w:marBottom w:val="0"/>
          <w:divBdr>
            <w:top w:val="none" w:sz="0" w:space="0" w:color="auto"/>
            <w:left w:val="none" w:sz="0" w:space="0" w:color="auto"/>
            <w:bottom w:val="none" w:sz="0" w:space="0" w:color="auto"/>
            <w:right w:val="none" w:sz="0" w:space="0" w:color="auto"/>
          </w:divBdr>
        </w:div>
        <w:div w:id="110666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6D88C-8C58-40EF-8B5F-55E86065C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2737</TotalTime>
  <Pages>21</Pages>
  <Words>6203</Words>
  <Characters>35361</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Saira Ashraf</dc:creator>
  <cp:keywords/>
  <dc:description/>
  <cp:lastModifiedBy>Saira Ashraf</cp:lastModifiedBy>
  <cp:revision>44</cp:revision>
  <cp:lastPrinted>2026-01-15T19:43:00Z</cp:lastPrinted>
  <dcterms:created xsi:type="dcterms:W3CDTF">2026-01-05T23:05:00Z</dcterms:created>
  <dcterms:modified xsi:type="dcterms:W3CDTF">2026-05-03T17:43:00Z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id="uG2Lqxzd"/&gt;&lt;style id="http://www.zotero.org/styles/isnad-dipnotlu" locale="tr-TR" hasBibliography="1" bibliographyStyleHasBeenSet="1"/&gt;&lt;prefs&gt;&lt;pref name="fieldType" value="Field"/&gt;&lt;pref name="not</vt:lpwstr>
  </property>
  <property fmtid="{D5CDD505-2E9C-101B-9397-08002B2CF9AE}" pid="3" name="ZOTERO_PREF_2">
    <vt:lpwstr>eType" value="1"/&gt;&lt;/prefs&gt;&lt;/data&gt;</vt:lpwstr>
  </property>
</Properties>
</file>