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4F3E" w14:textId="6AE1D26D" w:rsidR="00DA48B2" w:rsidRPr="00DA48B2" w:rsidRDefault="00C7561E" w:rsidP="00DA48B2">
      <w:pPr>
        <w:spacing w:after="240" w:line="360" w:lineRule="auto"/>
        <w:jc w:val="center"/>
        <w:rPr>
          <w:rFonts w:asciiTheme="majorBidi" w:hAnsiTheme="majorBidi" w:cstheme="majorBidi"/>
          <w:b/>
          <w:bCs/>
        </w:rPr>
      </w:pPr>
      <w:r w:rsidRPr="00C7561E">
        <w:rPr>
          <w:rFonts w:asciiTheme="majorBidi" w:hAnsiTheme="majorBidi" w:cstheme="majorBidi"/>
          <w:b/>
          <w:bCs/>
        </w:rPr>
        <w:t>KARŞILAŞTIRMALI TEFSIR: KARŞILAŞTIRMALI TEFSIR VE TÜRLERI ÜZERINE AKADEMIK BIR İNCELEME</w:t>
      </w:r>
      <w:r w:rsidR="00DA48B2">
        <w:rPr>
          <w:rFonts w:asciiTheme="majorBidi" w:hAnsiTheme="majorBidi" w:cstheme="majorBidi"/>
          <w:b/>
          <w:bCs/>
          <w:rtl/>
        </w:rPr>
        <w:br/>
      </w:r>
      <w:r w:rsidR="00FA2EC7" w:rsidRPr="00FA2EC7">
        <w:rPr>
          <w:rFonts w:asciiTheme="majorBidi" w:hAnsiTheme="majorBidi" w:cstheme="majorBidi"/>
          <w:b/>
          <w:bCs/>
        </w:rPr>
        <w:t>Hazırlayan</w:t>
      </w:r>
      <w:r w:rsidR="00FA2EC7">
        <w:rPr>
          <w:rFonts w:asciiTheme="majorBidi" w:hAnsiTheme="majorBidi" w:cstheme="majorBidi"/>
          <w:b/>
          <w:bCs/>
        </w:rPr>
        <w:t xml:space="preserve">: </w:t>
      </w:r>
      <w:r w:rsidR="00DA48B2" w:rsidRPr="00DA48B2">
        <w:rPr>
          <w:rFonts w:asciiTheme="majorBidi" w:hAnsiTheme="majorBidi" w:cstheme="majorBidi"/>
          <w:b/>
          <w:bCs/>
        </w:rPr>
        <w:t>Sana Jobe</w:t>
      </w:r>
    </w:p>
    <w:p w14:paraId="678214AF" w14:textId="443EA874" w:rsidR="00E03E8F" w:rsidRPr="00E03E8F" w:rsidRDefault="00E03E8F" w:rsidP="00E03E8F">
      <w:pPr>
        <w:pStyle w:val="ListParagraph"/>
        <w:numPr>
          <w:ilvl w:val="0"/>
          <w:numId w:val="5"/>
        </w:numPr>
        <w:spacing w:after="240" w:line="360" w:lineRule="auto"/>
        <w:ind w:left="357" w:hanging="357"/>
        <w:jc w:val="lowKashida"/>
        <w:rPr>
          <w:rFonts w:asciiTheme="majorBidi" w:hAnsiTheme="majorBidi" w:cstheme="majorBidi"/>
          <w:b/>
          <w:bCs/>
        </w:rPr>
      </w:pPr>
      <w:r w:rsidRPr="00E03E8F">
        <w:rPr>
          <w:rFonts w:asciiTheme="majorBidi" w:hAnsiTheme="majorBidi" w:cstheme="majorBidi"/>
          <w:b/>
          <w:bCs/>
        </w:rPr>
        <w:t>GİRİŞ</w:t>
      </w:r>
    </w:p>
    <w:p w14:paraId="005409BE" w14:textId="38B088EF"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Karşılaştırmalı tefsir (et-tefsîrü’l-mukāren), çağdaş akademik Kur’an araştırmalarında en önemli ve en yeni tefsir yöntemlerinden biri olarak kabul edilmektedir. Bu yöntem, Kur’ân metnini yalnızca tek bir müfessirin bakış açısından açıklamakla yetinmeyip, farklı dönemlerde yaşamış seçkin müfessirlerin görüşlerini karşılaştırma, analiz etme ve değerlendirme esasına dayanmaktadır. Böylece Kur’ân ayetlerinin daha kapsamlı, derinlikli ve objektif biçimde anlaşılması hedeflenmektedir. Çünkü ilahî kelamın anlam katmanlarının tamamını tek bir tefsirin kuşatması mümkün değildir. Bu sebeple karşılaştırmalı tefsir, müfessirlerin görüşleri arasındaki benzerlik ve farklılıkları ortaya koyan, onların metodolojilerini ve delillerini inceleyen ilmî bir yaklaşım olarak öne çıkmaktadır. Bu yöntem sayesinde araştırmacı, farklı yorumlar arasında tercihte bulunabilmekte ve Allah Teâlâ’nın muradını insan gücünün imkân verdiği ölçüde daha bütüncül biçimde kavramaya çalışmaktadır. [1]</w:t>
      </w:r>
    </w:p>
    <w:p w14:paraId="33066DC1"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bağlamda temel soru şudur: Aynı Kur’ân ayeti hakkında tarih boyunca ortaya çıkan yorum çeşitliliği nasıl açıklanabilir? İşte bu soru, çalışmamızın giriş kısmının merkezini oluşturmaktadır. Zira karşılaştırmalı tefsir, müfessirler arasındaki görüş farklılıklarını incelemeksizin düşünülemez. Tefsir âlimleri, bu ihtilafların geçici veya rastlantısal bir durum olmadığını, aksine ilmî ve metodolojik sebeplere dayandığını belirtmişlerdir. Nitekim İbn Teymiyye, müfessirler arasındaki farklılıkların başlıca sebeplerinden birinin Arap dilinde tam eş anlamlılığın nadir oluşu olduğunu ifade etmiş; özellikle Kur’ân lafızlarının birden fazla anlama açık yapısına dikkat çekmiştir. Ona göre bir lafzın müşterek anlamlar taşıması veya aynı lafzın birden fazla ferde hamledilebilmesi, tefsirde yorum çeşitliliğine yol açmaktadır. [2]</w:t>
      </w:r>
    </w:p>
    <w:p w14:paraId="18AD53A4" w14:textId="1CD050BA"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1.1</w:t>
      </w:r>
      <w:r w:rsidR="00C7561E" w:rsidRPr="00C7561E">
        <w:rPr>
          <w:rFonts w:asciiTheme="majorBidi" w:hAnsiTheme="majorBidi" w:cstheme="majorBidi"/>
          <w:b/>
          <w:bCs/>
        </w:rPr>
        <w:t>Konunun Seçilme Sebepleri</w:t>
      </w:r>
    </w:p>
    <w:p w14:paraId="4C6E8A3A"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 xml:space="preserve">“Karşılaştırmalı Tefsir: Müfessirler Arasındaki Görüş Ayrılıkları ve Sebepleri Üzerine Akademik Bir İnceleme” başlıklı bu çalışmanın seçilmesinde, tefsir ilminin İslâmî ilimler içerisindeki merkezi konumu etkili olmuştur. Çünkü tefsir, Allah’ın kitabını anlamanın ve onun hükümlerini </w:t>
      </w:r>
      <w:r w:rsidRPr="00C7561E">
        <w:rPr>
          <w:rFonts w:asciiTheme="majorBidi" w:hAnsiTheme="majorBidi" w:cstheme="majorBidi"/>
        </w:rPr>
        <w:lastRenderedPageBreak/>
        <w:t>ortaya çıkarmanın temel aracıdır. Müfessirler arasındaki ihtilaf meselesi ise ilk dönemlerden itibaren âlimlerin dikkatini çeken önemli ilmî meselelerden biri olmuştur. Bu farklılıklar; dilsel, fıkhî, kelâmî ve metodolojik boyutlar taşıdığı için ilmî araştırmayı gerekli kılmaktadır. Günümüzde bazı araştırmacılar müfessirler arasındaki ihtilafı “çelişki” olarak değerlendirmekteyse de, bu ihtilafların önemli bir kısmı “tenevvü ihtilafı” kapsamında değerlendirilmekte ve meşru içtihadın bir sonucu kabul edilmektedir. Dolayısıyla bu konunun incelenmesi, ihtilafın mahiyetini ve sınırlarını anlamak açısından büyük önem arz etmektedir. [3]</w:t>
      </w:r>
    </w:p>
    <w:p w14:paraId="47B9B022"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Bunun yanında karşılaştırmalı tefsir yöntemi, araştırmacıya eleştirel düşünme, analiz etme ve farklı görüşleri mukayese etme becerisi kazandırmaktadır. Aynı zamanda farklı tefsir ekollerinin Kur’ân’ı anlama biçimlerini ortaya koymakta ve müfessirlerin tercih yöntemlerini açıklamaktadır. Bu sebeple müfessirler arasındaki görüş ayrılıklarının sebeplerini akademik bir çerçevede incelemek, Kur’ân yorumunun zenginliğini ve İslâm düşüncesinin dinamizmini ortaya koyması bakımından önemli görülmektedir. [4]</w:t>
      </w:r>
    </w:p>
    <w:p w14:paraId="39A6D2C2" w14:textId="58545027"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 xml:space="preserve">1.2 </w:t>
      </w:r>
      <w:r w:rsidR="00C7561E" w:rsidRPr="00C7561E">
        <w:rPr>
          <w:rFonts w:asciiTheme="majorBidi" w:hAnsiTheme="majorBidi" w:cstheme="majorBidi"/>
          <w:b/>
          <w:bCs/>
        </w:rPr>
        <w:t>Çalışmanın Önemi</w:t>
      </w:r>
    </w:p>
    <w:p w14:paraId="4FF01E1D"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çalışmanın önemi, Kur’ân ilimlerinin temel meselelerinden biri olan müfessirler arasındaki ihtilafları ilmî ve metodolojik açıdan ele almasından kaynaklanmaktadır. Müfessirlerin neden farklı yorumlarda bulunduğunu anlamak, araştırmacının yorum çeşitliliğinin tabiatını kavramasına yardımcı olmaktadır. Aynı zamanda meşru içtihada dayanan yorum farklılıkları ile taassup veya zayıf delillerden kaynaklanan yorumları birbirinden ayırma imkânı sunmaktadır. Bunun yanı sıra çalışma, Kur’ân metninin dilsel ve şer‘î kurallar çerçevesinde birden fazla anlamı kapsayabilecek esnekliğe sahip olduğunu göstermektedir. [5]</w:t>
      </w:r>
    </w:p>
    <w:p w14:paraId="49C01CDF"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Karşılaştırmalı tefsir, günümüzde çağdaş akademik çalışmalarda önemli bir yöntem hâline gelmiştir. Çünkü bu yöntem, farklı tefsir eğilimlerini eleştirel bir bakış açısıyla incelemekte; müfessirlerin kelâmî, fıkhî ve dilsel arka planlarının yorumlara etkisini ortaya koymaktadır. Ayrıca bu tür çalışmalar, ilmî diyalog kültürünün gelişmesine ve farklı görüşlere karşı daha objektif yaklaşımın oluşmasına katkı sağlamaktadır. [6]</w:t>
      </w:r>
    </w:p>
    <w:p w14:paraId="6A2064C9" w14:textId="68FDFEF7"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 xml:space="preserve">1.3 </w:t>
      </w:r>
      <w:r w:rsidR="00C7561E" w:rsidRPr="00C7561E">
        <w:rPr>
          <w:rFonts w:asciiTheme="majorBidi" w:hAnsiTheme="majorBidi" w:cstheme="majorBidi"/>
          <w:b/>
          <w:bCs/>
        </w:rPr>
        <w:t>Araştırma Soruları</w:t>
      </w:r>
    </w:p>
    <w:p w14:paraId="77C761AF"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 aşağıdaki temel sorulara cevap aramaktadır:</w:t>
      </w:r>
    </w:p>
    <w:p w14:paraId="36FB81A4" w14:textId="77777777" w:rsidR="00C7561E" w:rsidRPr="00C7561E" w:rsidRDefault="00C7561E" w:rsidP="00C7561E">
      <w:pPr>
        <w:numPr>
          <w:ilvl w:val="0"/>
          <w:numId w:val="1"/>
        </w:numPr>
        <w:spacing w:after="240" w:line="360" w:lineRule="auto"/>
        <w:jc w:val="lowKashida"/>
        <w:rPr>
          <w:rFonts w:asciiTheme="majorBidi" w:hAnsiTheme="majorBidi" w:cstheme="majorBidi"/>
        </w:rPr>
      </w:pPr>
      <w:r w:rsidRPr="00C7561E">
        <w:rPr>
          <w:rFonts w:asciiTheme="majorBidi" w:hAnsiTheme="majorBidi" w:cstheme="majorBidi"/>
        </w:rPr>
        <w:lastRenderedPageBreak/>
        <w:t>Karşılaştırmalı tefsir nedir ve en önemli özellikleri nelerdir?</w:t>
      </w:r>
    </w:p>
    <w:p w14:paraId="69A94F36" w14:textId="77777777" w:rsidR="00C7561E" w:rsidRPr="00C7561E" w:rsidRDefault="00C7561E" w:rsidP="00C7561E">
      <w:pPr>
        <w:numPr>
          <w:ilvl w:val="0"/>
          <w:numId w:val="1"/>
        </w:numPr>
        <w:spacing w:after="240" w:line="360" w:lineRule="auto"/>
        <w:jc w:val="lowKashida"/>
        <w:rPr>
          <w:rFonts w:asciiTheme="majorBidi" w:hAnsiTheme="majorBidi" w:cstheme="majorBidi"/>
        </w:rPr>
      </w:pPr>
      <w:r w:rsidRPr="00C7561E">
        <w:rPr>
          <w:rFonts w:asciiTheme="majorBidi" w:hAnsiTheme="majorBidi" w:cstheme="majorBidi"/>
        </w:rPr>
        <w:t>Müfessirler arasındaki ihtilafın mahiyeti ve türleri nelerdir?</w:t>
      </w:r>
    </w:p>
    <w:p w14:paraId="1F50B445" w14:textId="77777777" w:rsidR="00C7561E" w:rsidRPr="00C7561E" w:rsidRDefault="00C7561E" w:rsidP="00C7561E">
      <w:pPr>
        <w:numPr>
          <w:ilvl w:val="0"/>
          <w:numId w:val="1"/>
        </w:numPr>
        <w:spacing w:after="240" w:line="360" w:lineRule="auto"/>
        <w:jc w:val="lowKashida"/>
        <w:rPr>
          <w:rFonts w:asciiTheme="majorBidi" w:hAnsiTheme="majorBidi" w:cstheme="majorBidi"/>
        </w:rPr>
      </w:pPr>
      <w:r w:rsidRPr="00C7561E">
        <w:rPr>
          <w:rFonts w:asciiTheme="majorBidi" w:hAnsiTheme="majorBidi" w:cstheme="majorBidi"/>
        </w:rPr>
        <w:t>Müfessirlerin farklı yorumlarda bulunmasına yol açan başlıca ilmî ve metodolojik sebepler nelerdir?</w:t>
      </w:r>
    </w:p>
    <w:p w14:paraId="762072E3" w14:textId="1924141B"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 xml:space="preserve">1.4 </w:t>
      </w:r>
      <w:r w:rsidR="00C7561E" w:rsidRPr="00C7561E">
        <w:rPr>
          <w:rFonts w:asciiTheme="majorBidi" w:hAnsiTheme="majorBidi" w:cstheme="majorBidi"/>
          <w:b/>
          <w:bCs/>
        </w:rPr>
        <w:t>Araştırmanın Amaçları</w:t>
      </w:r>
    </w:p>
    <w:p w14:paraId="55E454AB"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çalışmanın temel amaçları şunlardır:</w:t>
      </w:r>
    </w:p>
    <w:p w14:paraId="3390F4AC" w14:textId="77777777" w:rsidR="00C7561E" w:rsidRPr="00C7561E" w:rsidRDefault="00C7561E" w:rsidP="00C7561E">
      <w:pPr>
        <w:numPr>
          <w:ilvl w:val="0"/>
          <w:numId w:val="2"/>
        </w:numPr>
        <w:spacing w:after="240" w:line="360" w:lineRule="auto"/>
        <w:jc w:val="lowKashida"/>
        <w:rPr>
          <w:rFonts w:asciiTheme="majorBidi" w:hAnsiTheme="majorBidi" w:cstheme="majorBidi"/>
        </w:rPr>
      </w:pPr>
      <w:r w:rsidRPr="00C7561E">
        <w:rPr>
          <w:rFonts w:asciiTheme="majorBidi" w:hAnsiTheme="majorBidi" w:cstheme="majorBidi"/>
        </w:rPr>
        <w:t>Karşılaştırmalı tefsirin kavramını açıklamak, ortaya çıkışını ve Kur’ân araştırmalarındaki önemini ortaya koymak.</w:t>
      </w:r>
    </w:p>
    <w:p w14:paraId="5B072813" w14:textId="77777777" w:rsidR="00C7561E" w:rsidRPr="00C7561E" w:rsidRDefault="00C7561E" w:rsidP="00C7561E">
      <w:pPr>
        <w:numPr>
          <w:ilvl w:val="0"/>
          <w:numId w:val="2"/>
        </w:numPr>
        <w:spacing w:after="240" w:line="360" w:lineRule="auto"/>
        <w:jc w:val="lowKashida"/>
        <w:rPr>
          <w:rFonts w:asciiTheme="majorBidi" w:hAnsiTheme="majorBidi" w:cstheme="majorBidi"/>
        </w:rPr>
      </w:pPr>
      <w:r w:rsidRPr="00C7561E">
        <w:rPr>
          <w:rFonts w:asciiTheme="majorBidi" w:hAnsiTheme="majorBidi" w:cstheme="majorBidi"/>
        </w:rPr>
        <w:t>Müfessirler arasındaki ihtilafın mahiyetini ve türlerini incelemek.</w:t>
      </w:r>
    </w:p>
    <w:p w14:paraId="3C994695" w14:textId="77777777" w:rsidR="00C7561E" w:rsidRPr="00C7561E" w:rsidRDefault="00C7561E" w:rsidP="00C7561E">
      <w:pPr>
        <w:numPr>
          <w:ilvl w:val="0"/>
          <w:numId w:val="2"/>
        </w:numPr>
        <w:spacing w:after="240" w:line="360" w:lineRule="auto"/>
        <w:jc w:val="lowKashida"/>
        <w:rPr>
          <w:rFonts w:asciiTheme="majorBidi" w:hAnsiTheme="majorBidi" w:cstheme="majorBidi"/>
        </w:rPr>
      </w:pPr>
      <w:r w:rsidRPr="00C7561E">
        <w:rPr>
          <w:rFonts w:asciiTheme="majorBidi" w:hAnsiTheme="majorBidi" w:cstheme="majorBidi"/>
        </w:rPr>
        <w:t>Müfessirler arasındaki yorum farklılıklarının temel sebeplerini ortaya çıkarmak.</w:t>
      </w:r>
    </w:p>
    <w:p w14:paraId="5F358843"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hedefler, çağdaş araştırmalarda vurgulandığı üzere karşılaştırmalı tefsirin, tefsir ihtilaflarını doğru metodolojik çerçevede anlamaya imkân veren önemli bir ilmî araç olduğu düşüncesiyle uyumludur. [7]</w:t>
      </w:r>
    </w:p>
    <w:p w14:paraId="23B94CC8" w14:textId="59C09002"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 xml:space="preserve">1.5 </w:t>
      </w:r>
      <w:r w:rsidR="00C7561E" w:rsidRPr="00C7561E">
        <w:rPr>
          <w:rFonts w:asciiTheme="majorBidi" w:hAnsiTheme="majorBidi" w:cstheme="majorBidi"/>
          <w:b/>
          <w:bCs/>
        </w:rPr>
        <w:t>Araştırma Yöntemi</w:t>
      </w:r>
    </w:p>
    <w:p w14:paraId="16C3515A"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çalışmada tümevarım (istikrâ), tümdengelim (istinbat) ve analitik inceleme yöntemleri birlikte kullanılmıştır. Öncelikle konuyla ilgili bilgiler toplanmış, sınıflandırılmış ve değerlendirilmiştir. Ardından meseleler ilmî deliller ışığında tartışılmış ve güvenilir kaynaklara dayanılarak analiz edilmiştir.</w:t>
      </w:r>
    </w:p>
    <w:p w14:paraId="5E14A21D" w14:textId="3DDB30DC"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 xml:space="preserve">1.6 </w:t>
      </w:r>
      <w:r w:rsidR="00C7561E" w:rsidRPr="00C7561E">
        <w:rPr>
          <w:rFonts w:asciiTheme="majorBidi" w:hAnsiTheme="majorBidi" w:cstheme="majorBidi"/>
          <w:b/>
          <w:bCs/>
        </w:rPr>
        <w:t>Araştırma Problemi</w:t>
      </w:r>
    </w:p>
    <w:p w14:paraId="589C2A1F"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 xml:space="preserve">Bu araştırmanın temel problemi, Kur’ân ayetlerinin yorumlanmasında müfessirler arasında ortaya çıkan görüş çeşitliliğidir. Bu farklılıklar; dilsel, fıkhî, kelâmî ve metodolojik etkenlerden beslenen çeşitli tefsir eğilimlerinin doğmasına yol açmıştır. Her ne kadar bu durum İslâmî tefsir mirasının zenginliğini gösteren tabiî bir ilmî olgu olsa da, bazı araştırmacılar bu farklılıkların sebeplerini anlamakta zorlanmakta ve “tenevvü ihtilafı” ile “tezat ihtilafı”nı birbirinden ayıramamaktadır. </w:t>
      </w:r>
      <w:r w:rsidRPr="00C7561E">
        <w:rPr>
          <w:rFonts w:asciiTheme="majorBidi" w:hAnsiTheme="majorBidi" w:cstheme="majorBidi"/>
        </w:rPr>
        <w:lastRenderedPageBreak/>
        <w:t>Ayrıca farklı tefsir ekollerinin kullandığı yöntemlerin çeşitlenmesi, bu ihtilafların karşılaştırmalı yöntemle incelenmesini gerekli kılmıştır. [8]</w:t>
      </w:r>
    </w:p>
    <w:p w14:paraId="7A08BD34"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çerçevede çalışma, müfessirler arasındaki ihtilafların sebeplerini ortaya koymayı, farklı metodolojik ve fikrî eğilimlerin tefsir yorumlarına etkisini açıklamayı ve karşılaştırmalı tefsirin bu yorumları analiz etmedeki rolünü incelemeyi amaçlamaktadır. Bunun yanı sıra çalışma, tefsir çeşitliliğinin Kur’ân’ı daha derinlikli anlamaya nasıl katkı sağladığını göstermeyi hedeflemektedir.</w:t>
      </w:r>
    </w:p>
    <w:p w14:paraId="3C4F5AD8" w14:textId="1EB6B113" w:rsidR="00C7561E" w:rsidRPr="00C7561E" w:rsidRDefault="00CC24FB" w:rsidP="00C7561E">
      <w:pPr>
        <w:spacing w:after="240" w:line="360" w:lineRule="auto"/>
        <w:jc w:val="lowKashida"/>
        <w:rPr>
          <w:rFonts w:asciiTheme="majorBidi" w:hAnsiTheme="majorBidi" w:cstheme="majorBidi"/>
          <w:b/>
          <w:bCs/>
        </w:rPr>
      </w:pPr>
      <w:r>
        <w:rPr>
          <w:rFonts w:asciiTheme="majorBidi" w:hAnsiTheme="majorBidi" w:cstheme="majorBidi"/>
          <w:b/>
          <w:bCs/>
        </w:rPr>
        <w:t xml:space="preserve">1.8 </w:t>
      </w:r>
      <w:r w:rsidR="00C7561E" w:rsidRPr="00C7561E">
        <w:rPr>
          <w:rFonts w:asciiTheme="majorBidi" w:hAnsiTheme="majorBidi" w:cstheme="majorBidi"/>
          <w:b/>
          <w:bCs/>
        </w:rPr>
        <w:t>Araştırma Planı</w:t>
      </w:r>
    </w:p>
    <w:p w14:paraId="4B5CDA1F"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Birinci Bölüm: Karşılaştırmalı Tefsirin Tanımı ve Ortaya Çıkışı</w:t>
      </w:r>
    </w:p>
    <w:p w14:paraId="4428C64E"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bölümde karşılaştırmalı tefsirin kavramsal çerçevesi, ortaya çıkışı ve tarihsel gelişimi ele alınacaktır.</w:t>
      </w:r>
    </w:p>
    <w:p w14:paraId="6B4C7F84" w14:textId="1C087B4F" w:rsidR="00C7561E" w:rsidRPr="00CC24FB" w:rsidRDefault="00C7561E" w:rsidP="00CC24FB">
      <w:pPr>
        <w:pStyle w:val="ListParagraph"/>
        <w:numPr>
          <w:ilvl w:val="0"/>
          <w:numId w:val="5"/>
        </w:numPr>
        <w:spacing w:after="240" w:line="360" w:lineRule="auto"/>
        <w:ind w:left="357" w:hanging="357"/>
        <w:jc w:val="lowKashida"/>
        <w:rPr>
          <w:rFonts w:asciiTheme="majorBidi" w:hAnsiTheme="majorBidi" w:cstheme="majorBidi"/>
          <w:b/>
          <w:bCs/>
        </w:rPr>
      </w:pPr>
      <w:r w:rsidRPr="00CC24FB">
        <w:rPr>
          <w:rFonts w:asciiTheme="majorBidi" w:hAnsiTheme="majorBidi" w:cstheme="majorBidi"/>
          <w:b/>
          <w:bCs/>
        </w:rPr>
        <w:t>İkinci Bölüm: Karşılaştırmalı Tefsirin Türleri</w:t>
      </w:r>
    </w:p>
    <w:p w14:paraId="70C4DB58"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bölümde karşılaştırmalı tefsirin farklı türleri ve uygulama alanları incelenecektir.</w:t>
      </w:r>
    </w:p>
    <w:p w14:paraId="4B1FAA7E"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Çalışma, ulaşılan temel sonuçlar ve gelecekte yapılabilecek araştırmalara ilişkin önerilerle sona erecektir.</w:t>
      </w:r>
    </w:p>
    <w:p w14:paraId="18DC706E"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Birinci Bölüm: Karşılaştırmalı Tefsirin Tanımı ve Ortaya Çıkışı</w:t>
      </w:r>
    </w:p>
    <w:p w14:paraId="5BD1D878"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Birinci Kısım: Tanımı</w:t>
      </w:r>
    </w:p>
    <w:p w14:paraId="1C6A4964"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Muhammed Abdülazîm ez-Zerkânî tefsiri şöyle tanımlamaktadır: “Kur’ân-ı Kerîm’i, insan gücünün elverdiği ölçüde Allah’ın muradına delalet etmesi bakımından inceleyen ilimdir.” [9]</w:t>
      </w:r>
    </w:p>
    <w:p w14:paraId="348E33FB"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“Karşılaştırma” anlamına gelen “mukārene” kavramı ise sözlükte iki veya daha fazla şeyi karşılaştırmak, benzerlik ve farklılıklarını ortaya koymak ve ardından deliller ışığında tercihte bulunmak anlamına gelmektedir. [10]</w:t>
      </w:r>
    </w:p>
    <w:p w14:paraId="4E6CF5EE"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 xml:space="preserve">“Karşılaştırmalı tefsir” teriminin ilk akademik tanımlarından biri, Ahmed el-Kûmî tarafından yapılmıştır. O, bu yöntemi şöyle tarif etmektedir: “Kur’ân ayetlerini, müfessirlerin yazdıkları </w:t>
      </w:r>
      <w:r w:rsidRPr="00C7561E">
        <w:rPr>
          <w:rFonts w:asciiTheme="majorBidi" w:hAnsiTheme="majorBidi" w:cstheme="majorBidi"/>
        </w:rPr>
        <w:lastRenderedPageBreak/>
        <w:t>çerçevesinde açıklamak; onların görüşlerini, yönelimlerini ve farklı yaklaşımlarını karşılaştırmak; ayrıca ayetler ve hadisler arasında zahirde görülen ihtilafları uzlaştırmaya çalışmaktır.” [11]</w:t>
      </w:r>
    </w:p>
    <w:p w14:paraId="45238BD2"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Ancak bu tanımın oldukça geniş tutulduğu ve başka ilim dallarını da içine aldığı görülmektedir. Daha sonraki araştırmacılar bu tanımı geliştirmiş ve karşılaştırmalı tefsirin yöntemsel sınırlarını daha belirgin hâle getirmeye çalışmışlardır. [12]</w:t>
      </w:r>
    </w:p>
    <w:p w14:paraId="7FB7C164"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İkinci Kısım: Karşılaştırmalı Tefsirin Ortaya Çıkışı</w:t>
      </w:r>
    </w:p>
    <w:p w14:paraId="47830BD2"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Karşılaştırmalı tefsir, modern dönemde isimlendirilmiş olsa da uygulama bakımından tefsirin ilk dönemlerinden itibaren mevcut olmuştur. Sahabe, tâbiîn ve sonraki nesiller arasındaki anlayış farklılıkları; rivayetlerin çeşitlenmesi ve farklı yorum yöntemlerinin ortaya çıkması, doğal olarak karşılaştırmalı yaklaşımın gelişmesine yol açmıştır. Müfessirler farklı görüşleri aktarmış, delillerini tartışmış ve daha güçlü gördükleri görüşleri tercih etmişlerdir. [13]</w:t>
      </w:r>
    </w:p>
    <w:p w14:paraId="09693FC0"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Celâleddîn es-Süyûtî, Muhammed bin Cerir et-Taberî hakkında şöyle demektedir: “İbn Cerîr et-Taberî’nin tefsiri, tefsirlerin en büyüğü ve en değerlisidir; çünkü o görüşleri karşılaştırır, delilleri tartışır ve tercihte bulunur.” [14]</w:t>
      </w:r>
    </w:p>
    <w:p w14:paraId="25BF4EAA"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Gerçekten de Taberî’nin yöntemi incelendiğinde, onun sahabe ve tâbiîn rivayetlerini mukayese ettiği, farklı yorumları değerlendirdiği ve delil esaslı tercihler yaptığı görülmektedir. Bu durum, karşılaştırmalı tefsirin teorik köklerinin erken dönemlere uzandığını göstermektedir. [15]</w:t>
      </w:r>
    </w:p>
    <w:p w14:paraId="3739A627"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Süyûtî ayrıca müfessirlerin zamanla farklı alanlarda uzmanlaştığını ifade etmektedir. Nahiv alanında Ez-Zeccâc, fıkıh alanında Ebû Abdullah el-Kurtubî, aklî ilimlerde Fahreddin er-Râzî, Mu‘tezilî yaklaşımda Zemahşerî ve tasavvufî yorumda Ebû Abdurrahman es-Sülemî öne çıkmıştır. Bu durum, tefsirdeki çeşitliliğin metodolojik temellere dayandığını açıkça göstermektedir. [16]</w:t>
      </w:r>
    </w:p>
    <w:p w14:paraId="39A7EA34"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İkinci Bölüm: Karşılaştırmalı Tefsirin Türleri</w:t>
      </w:r>
    </w:p>
    <w:p w14:paraId="79D0A407"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Araştırmacılar karşılaştırmalı tefsiri çeşitli türlere ayırmıştır. Bunların en önemlileri şunlardır:</w:t>
      </w:r>
    </w:p>
    <w:p w14:paraId="5431AA43"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1. Müfessir Görüşlerinin Karşılaştırılması</w:t>
      </w:r>
    </w:p>
    <w:p w14:paraId="105DA0CA"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lastRenderedPageBreak/>
        <w:t>Bu türde aynı ayet veya konu hakkında farklı müfessirlerin görüşleri analiz edilir. Dil, rivayet, nahiv, belâgat, kıraat ve sebeb-i nüzul gibi unsurlar dikkate alınarak yorumlar karşılaştırılır. [17]</w:t>
      </w:r>
    </w:p>
    <w:p w14:paraId="72EE0DB1"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2. Müfessirlerin Metodolojik Yaklaşımlarının Karşılaştırılması</w:t>
      </w:r>
    </w:p>
    <w:p w14:paraId="319034DD" w14:textId="0B358A16"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yaklaşımda müfessirlerin genel yöntemleri incelenir. Müfessirin dil anlayışı, rivayet kullanımı, kelâmî yaklaşımı, fıkıh metodolojisi ve İsrailiyat karşısındaki tavrı değerlendirilir [18]</w:t>
      </w:r>
    </w:p>
    <w:p w14:paraId="0448DBFA"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3. Ayetler ve Hadisler Arasında Görülen İhtilafların Uzlaştırılması</w:t>
      </w:r>
    </w:p>
    <w:p w14:paraId="7A2BC98D" w14:textId="301734CA"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türde zahirde çelişkili görünen ayetler veya hadisler arasında uzlaştırma yapılır ve metinler arasındaki uyum ortaya konur [19]</w:t>
      </w:r>
    </w:p>
    <w:p w14:paraId="7CE02E37"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4. Kur’ân ile Önceki Kutsal Kitapların Karşılaştırılması</w:t>
      </w:r>
    </w:p>
    <w:p w14:paraId="3F59E7E5" w14:textId="0550E388"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yaklaşımda Kur’ân ile Tevrat ve İncil gibi kutsal metinler arasında benzerlik ve farklılıklar incelenir. Böylece Kur’ân’ın önceki vahiylerle ilişkisi ortaya konur [20]</w:t>
      </w:r>
    </w:p>
    <w:p w14:paraId="77221607" w14:textId="77777777" w:rsidR="00C7561E" w:rsidRPr="00C7561E" w:rsidRDefault="00C7561E" w:rsidP="00C7561E">
      <w:pPr>
        <w:spacing w:after="240" w:line="360" w:lineRule="auto"/>
        <w:jc w:val="lowKashida"/>
        <w:rPr>
          <w:rFonts w:asciiTheme="majorBidi" w:hAnsiTheme="majorBidi" w:cstheme="majorBidi"/>
          <w:b/>
          <w:bCs/>
        </w:rPr>
      </w:pPr>
      <w:r w:rsidRPr="00C7561E">
        <w:rPr>
          <w:rFonts w:asciiTheme="majorBidi" w:hAnsiTheme="majorBidi" w:cstheme="majorBidi"/>
          <w:b/>
          <w:bCs/>
        </w:rPr>
        <w:t>5. Müteşabih Ayetlerin Karşılaştırılması</w:t>
      </w:r>
    </w:p>
    <w:p w14:paraId="71B40293" w14:textId="2A8E4C70" w:rsidR="00C7561E" w:rsidRDefault="00C7561E" w:rsidP="00C7561E">
      <w:pPr>
        <w:spacing w:after="240" w:line="360" w:lineRule="auto"/>
        <w:jc w:val="lowKashida"/>
        <w:rPr>
          <w:rFonts w:asciiTheme="majorBidi" w:hAnsiTheme="majorBidi" w:cstheme="majorBidi"/>
          <w:rtl/>
        </w:rPr>
      </w:pPr>
      <w:r w:rsidRPr="00C7561E">
        <w:rPr>
          <w:rFonts w:asciiTheme="majorBidi" w:hAnsiTheme="majorBidi" w:cstheme="majorBidi"/>
        </w:rPr>
        <w:t>Bu yöntemde lafız bakımından benzer fakat ifade farklılıkları taşıyan ayetler karşılaştırılır ve Kur’ân’ın belâgat incelikleri ortaya çıkarılır. Bu alan “Müteşâbihü’l-Kur’ân” olarak da bilinmektedir [21]</w:t>
      </w:r>
    </w:p>
    <w:p w14:paraId="25C85F1F" w14:textId="77777777" w:rsidR="00C7561E" w:rsidRDefault="00C7561E" w:rsidP="00C7561E">
      <w:pPr>
        <w:spacing w:after="240" w:line="360" w:lineRule="auto"/>
        <w:jc w:val="lowKashida"/>
        <w:rPr>
          <w:rFonts w:asciiTheme="majorBidi" w:hAnsiTheme="majorBidi" w:cstheme="majorBidi"/>
          <w:rtl/>
        </w:rPr>
      </w:pPr>
    </w:p>
    <w:p w14:paraId="7EECFCF5" w14:textId="77777777" w:rsidR="00C7561E" w:rsidRDefault="00C7561E" w:rsidP="00C7561E">
      <w:pPr>
        <w:spacing w:after="240" w:line="360" w:lineRule="auto"/>
        <w:jc w:val="lowKashida"/>
        <w:rPr>
          <w:rFonts w:asciiTheme="majorBidi" w:hAnsiTheme="majorBidi" w:cstheme="majorBidi"/>
          <w:rtl/>
        </w:rPr>
      </w:pPr>
    </w:p>
    <w:p w14:paraId="7BFF6184" w14:textId="77777777" w:rsidR="00C7561E" w:rsidRDefault="00C7561E" w:rsidP="00C7561E">
      <w:pPr>
        <w:spacing w:after="240" w:line="360" w:lineRule="auto"/>
        <w:jc w:val="lowKashida"/>
        <w:rPr>
          <w:rFonts w:asciiTheme="majorBidi" w:hAnsiTheme="majorBidi" w:cstheme="majorBidi"/>
          <w:rtl/>
        </w:rPr>
      </w:pPr>
    </w:p>
    <w:p w14:paraId="197539BA" w14:textId="77777777" w:rsidR="00C7561E" w:rsidRDefault="00C7561E" w:rsidP="00C7561E">
      <w:pPr>
        <w:spacing w:after="240" w:line="360" w:lineRule="auto"/>
        <w:jc w:val="lowKashida"/>
        <w:rPr>
          <w:rFonts w:asciiTheme="majorBidi" w:hAnsiTheme="majorBidi" w:cstheme="majorBidi"/>
          <w:rtl/>
        </w:rPr>
      </w:pPr>
    </w:p>
    <w:p w14:paraId="0DD0E521" w14:textId="77777777" w:rsidR="00C7561E" w:rsidRDefault="00C7561E" w:rsidP="00C7561E">
      <w:pPr>
        <w:spacing w:after="240" w:line="360" w:lineRule="auto"/>
        <w:jc w:val="lowKashida"/>
        <w:rPr>
          <w:rFonts w:asciiTheme="majorBidi" w:hAnsiTheme="majorBidi" w:cstheme="majorBidi"/>
          <w:rtl/>
        </w:rPr>
      </w:pPr>
    </w:p>
    <w:p w14:paraId="7D763540" w14:textId="77777777" w:rsidR="00C7561E" w:rsidRDefault="00C7561E" w:rsidP="00C7561E">
      <w:pPr>
        <w:spacing w:after="240" w:line="360" w:lineRule="auto"/>
        <w:jc w:val="lowKashida"/>
        <w:rPr>
          <w:rFonts w:asciiTheme="majorBidi" w:hAnsiTheme="majorBidi" w:cstheme="majorBidi"/>
          <w:rtl/>
        </w:rPr>
      </w:pPr>
    </w:p>
    <w:p w14:paraId="1E9F4C9C" w14:textId="77777777" w:rsidR="00C7561E" w:rsidRDefault="00C7561E" w:rsidP="00C7561E">
      <w:pPr>
        <w:spacing w:after="240" w:line="360" w:lineRule="auto"/>
        <w:jc w:val="lowKashida"/>
        <w:rPr>
          <w:rFonts w:asciiTheme="majorBidi" w:hAnsiTheme="majorBidi" w:cstheme="majorBidi"/>
          <w:rtl/>
        </w:rPr>
      </w:pPr>
    </w:p>
    <w:p w14:paraId="21D3C14F" w14:textId="59082FA3" w:rsidR="00C7561E" w:rsidRPr="00CC24FB" w:rsidRDefault="00C7561E" w:rsidP="00CC24FB">
      <w:pPr>
        <w:pStyle w:val="ListParagraph"/>
        <w:numPr>
          <w:ilvl w:val="0"/>
          <w:numId w:val="5"/>
        </w:numPr>
        <w:spacing w:after="240" w:line="360" w:lineRule="auto"/>
        <w:ind w:left="357" w:hanging="357"/>
        <w:jc w:val="lowKashida"/>
        <w:rPr>
          <w:rFonts w:asciiTheme="majorBidi" w:hAnsiTheme="majorBidi" w:cstheme="majorBidi"/>
          <w:b/>
          <w:bCs/>
        </w:rPr>
      </w:pPr>
      <w:r w:rsidRPr="00CC24FB">
        <w:rPr>
          <w:rFonts w:asciiTheme="majorBidi" w:hAnsiTheme="majorBidi" w:cstheme="majorBidi"/>
          <w:b/>
          <w:bCs/>
        </w:rPr>
        <w:lastRenderedPageBreak/>
        <w:t>Sonuç</w:t>
      </w:r>
    </w:p>
    <w:p w14:paraId="53ABA992" w14:textId="07D8FDD3"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çalışmada karşılaştırmalı tefsirin mahiyeti, tarihî gelişimi ve türleri akademik bir çerçevede incelenmiştir. Araştırma sonucunda, karşılaştırmalı tefsirin modern dönemde ortaya çıkmış bir yöntem değil; aksine klasik tefsir geleneğinin içinde köklü bir uygulama olduğu anlaşılmıştır. Özellikle Taberî, Râzî, Kurtubî ve Zemahşerî gibi büyük müfessirlerin eserleri incelendiğinde, karşılaştırmalı yaklaşımın tarih boyunca fiilen uygulandığı görülmektedir [22]</w:t>
      </w:r>
    </w:p>
    <w:p w14:paraId="6A16D74D" w14:textId="094EA029" w:rsidR="00DA48B2" w:rsidRDefault="00C7561E" w:rsidP="00DA48B2">
      <w:pPr>
        <w:spacing w:after="240" w:line="360" w:lineRule="auto"/>
        <w:jc w:val="lowKashida"/>
        <w:rPr>
          <w:rFonts w:asciiTheme="majorBidi" w:hAnsiTheme="majorBidi" w:cstheme="majorBidi"/>
          <w:rtl/>
        </w:rPr>
      </w:pPr>
      <w:r w:rsidRPr="00C7561E">
        <w:rPr>
          <w:rFonts w:asciiTheme="majorBidi" w:hAnsiTheme="majorBidi" w:cstheme="majorBidi"/>
        </w:rPr>
        <w:t>Ayrıca müfessirler arasındaki ihtilafların bir zayıflık değil, ilmî zenginlik olduğu sonucuna ulaşılmıştır. Çünkü Kur’ân’ın dilsel ve anlamsal genişliği, farklı yorumlara imkân tanımaktadır. Bu nedenle karşılaştırmalı tefsir, hem Kur’ân’ın daha derinlikli anlaşılmasına katkı sağlamakta hem de İslâmî düşüncede ilmî çoğulculuğu desteklemektedir [23]</w:t>
      </w:r>
    </w:p>
    <w:p w14:paraId="08664B1B" w14:textId="6D985F4A" w:rsidR="00C7561E" w:rsidRPr="00CC24FB" w:rsidRDefault="00C7561E" w:rsidP="00CC24FB">
      <w:pPr>
        <w:pStyle w:val="ListParagraph"/>
        <w:numPr>
          <w:ilvl w:val="0"/>
          <w:numId w:val="5"/>
        </w:numPr>
        <w:spacing w:after="240" w:line="360" w:lineRule="auto"/>
        <w:ind w:left="357" w:hanging="357"/>
        <w:jc w:val="lowKashida"/>
        <w:rPr>
          <w:rFonts w:asciiTheme="majorBidi" w:hAnsiTheme="majorBidi" w:cstheme="majorBidi"/>
          <w:b/>
          <w:bCs/>
        </w:rPr>
      </w:pPr>
      <w:r w:rsidRPr="00CC24FB">
        <w:rPr>
          <w:rFonts w:asciiTheme="majorBidi" w:hAnsiTheme="majorBidi" w:cstheme="majorBidi"/>
          <w:b/>
          <w:bCs/>
        </w:rPr>
        <w:t>Tavsiyeler</w:t>
      </w:r>
    </w:p>
    <w:p w14:paraId="575BFE5C"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çalışmayı tamamladıktan ve geçen zaman içerisinde bu ilmin yeni yönlerini fark ettikten sonra, araştırmacılar önünde hâlâ uzun bir yol bulunduğunu ve burada ortaya koyduğum çabanın engin bir denizde yalnızca ilk adım olduğunu hissettim. Bu sebeple, büyük bir tevazu ile, benden sonra gelecek araştırmacılara bir yol haritası olması ümidiyle şu tavsiyeleri sunmak istiyorum:</w:t>
      </w:r>
    </w:p>
    <w:p w14:paraId="7F39E80F"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Birincisi:</w:t>
      </w:r>
      <w:r w:rsidRPr="00C7561E">
        <w:rPr>
          <w:rFonts w:asciiTheme="majorBidi" w:hAnsiTheme="majorBidi" w:cstheme="majorBidi"/>
        </w:rPr>
        <w:t xml:space="preserve"> Bu çalışma, yüksek lisans ve doktora düzeyindeki araştırmacıların karşılaştırmalı tefsir alanına teorik ve uygulamalı olarak yönelmelerini tavsiye etmektedir. Zira bu yöntemin farklı boyutlarını ele alan ilmî çalışmalara hâlâ ciddi ihtiyaç bulunmaktadır. Özellikle “karşılaştırmalı tefsirin beş türü”nün her birinin müstakil araştırmalar şeklinde incelenmesi veya bu yöntemin bir sûrenin tamamına yahut geniş bir Kur’ânî konuya uygulanması, parçalı çalışmalarla yetinilmemesi açısından önem arz etmektedir.</w:t>
      </w:r>
    </w:p>
    <w:p w14:paraId="6B888314"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İkincisi:</w:t>
      </w:r>
      <w:r w:rsidRPr="00C7561E">
        <w:rPr>
          <w:rFonts w:asciiTheme="majorBidi" w:hAnsiTheme="majorBidi" w:cstheme="majorBidi"/>
        </w:rPr>
        <w:t xml:space="preserve"> İlahiyat fakülteleri, şeriat ve usûlü’d-dîn bölümleri ile tefsir anabilim dallarının müfredatlarına “Karşılaştırmalı Tefsir ve Tercih Metodolojileri” başlıklı bağımsız bir ders eklemeleri önerilmektedir. Nasıl ki öğrenciler konulu tefsir ve tahlilî tefsir yöntemlerini öğreniyorsa, karşılaştırmalı tefsirin de kendi usûlü ve kuralları olan müstakil bir disiplin olarak öğretilmesi gerekmektedir. Nitekim Ürdün’deki Uluslararası İslam Bilimleri Üniversitesi gibi bazı üniversitelerin bu yöntemin öğretiminde başarılı örnekler ortaya koyduğu görülmektedir. Diğer üniversitelerin de bu tecrübelerden yararlanması temenni edilmektedir.</w:t>
      </w:r>
    </w:p>
    <w:p w14:paraId="6F198B60"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lastRenderedPageBreak/>
        <w:t>Üçüncüsü:</w:t>
      </w:r>
      <w:r w:rsidRPr="00C7561E">
        <w:rPr>
          <w:rFonts w:asciiTheme="majorBidi" w:hAnsiTheme="majorBidi" w:cstheme="majorBidi"/>
        </w:rPr>
        <w:t xml:space="preserve"> Çalışma, tefsir ihtilaflarını yalnızca “tenevvü ihtilafı” veya “tezat ihtilafı” şeklinde yüzeysel biçimde değerlendiren yaklaşımların aşılmasını önermektedir. Bunun yerine, her bir tefsir görüşünün oluşumunda dilsel, rivayet temelli, kelâmî ve metodolojik unsurların nasıl etkili olduğunu deliller ışığında ortaya koyan daha derinlikli analizlere yönelmek gerekmektedir. Çünkü sebep-sonuç ilişkisine dayalı bu yaklaşım, gerçek anlamda karşılaştırmalı tefsirin özünü oluşturmaktadır.</w:t>
      </w:r>
    </w:p>
    <w:p w14:paraId="4204DE7B"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Dördüncüsü:</w:t>
      </w:r>
      <w:r w:rsidRPr="00C7561E">
        <w:rPr>
          <w:rFonts w:asciiTheme="majorBidi" w:hAnsiTheme="majorBidi" w:cstheme="majorBidi"/>
        </w:rPr>
        <w:t xml:space="preserve"> Araştırmada, modern teknolojik araçlardan ve dijital veri tabanlarından karşılaştırmalı tefsir çalışmalarında faydalanılması tavsiye edilmektedir. Özellikle “el-Mektebetü’ş-Şâmile”, “Tefsir.net” ve “Şâmile.ws” gibi dijital platformlarda tefsir kaynaklarının erişilebilir hâle gelmesi, müfessir görüşlerinin daha hızlı ve sistematik biçimde toplanmasına imkân sağlamaktadır. Ancak burada dikkat edilmesi gereken husus, araştırmanın salt “kopyala-yapıştır” düzeyine indirgenmemesi; teknolojinin ilmî muhakemenin yerine değil, ona yardımcı bir araç olarak kullanılmasıdır.</w:t>
      </w:r>
    </w:p>
    <w:p w14:paraId="4FD7F138"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Beşincisi:</w:t>
      </w:r>
      <w:r w:rsidRPr="00C7561E">
        <w:rPr>
          <w:rFonts w:asciiTheme="majorBidi" w:hAnsiTheme="majorBidi" w:cstheme="majorBidi"/>
        </w:rPr>
        <w:t xml:space="preserve"> Çalışma, “Karşılaştırmalı Tefsir Araştırmaları Merkezi” adıyla uzmanlaşmış bir araştırma merkezinin kurulmasını önermektedir. Bu merkezin Rabıta el-Âlem el-İslâmî veya Ezher İslam Araştırmaları Akademisi gibi büyük ilmî kuruluşların bünyesinde faaliyet göstermesi faydalı olacaktır. Böyle bir merkez; ilmî kongreler ve sempozyumlar düzenleyebilir, hakemli akademik dergiler yayımlayabilir, terminolojik birlik sağlayabilir ve genç araştırmacıları destekleyebilir.</w:t>
      </w:r>
    </w:p>
    <w:p w14:paraId="2A4DD7B3"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Altıncısı:</w:t>
      </w:r>
      <w:r w:rsidRPr="00C7561E">
        <w:rPr>
          <w:rFonts w:asciiTheme="majorBidi" w:hAnsiTheme="majorBidi" w:cstheme="majorBidi"/>
        </w:rPr>
        <w:t xml:space="preserve"> Vaizlerin, imamların ve ilim talebelerinin karşılaştırmalı tefsirin ruhunu irşad ve tebliğ faaliyetlerinde kullanmaları teşvik edilmektedir. Buradaki amaç, sıradan insanlara ayrıntılı ihtilafları aktarmak değil; ilmî farklılıkların tabiî olduğunu göstermek, meşru içtihad çeşitliliğini kabul eden bir bilinç geliştirmek ve farklı görüşler karşısında ilmî nezaket örneği sunmaktır. Günümüz İslam toplumunun ayrıştırıcı değil, birleştirici bir söyleme her zamankinden daha fazla ihtiyacı vardır.</w:t>
      </w:r>
    </w:p>
    <w:p w14:paraId="0758A627"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Yedincisi:</w:t>
      </w:r>
      <w:r w:rsidRPr="00C7561E">
        <w:rPr>
          <w:rFonts w:asciiTheme="majorBidi" w:hAnsiTheme="majorBidi" w:cstheme="majorBidi"/>
        </w:rPr>
        <w:t xml:space="preserve"> Çalışma, araştırmacılara yalnızca tek bir tefsirle yetinmemelerini tavsiye etmektedir. Bir müfessirin ilmî değeri ne kadar büyük olursa olsun, farklı ekol ve yöntemlere ait tefsirlerin birlikte okunması gerekmektedir. Çünkü tek yönlü okuma gizli bir taassuba yol açabilirken, karşılaştırmalı okuma ilmî tevazu kazandırmaktadır. Bu bağlamda araştırmacının Taberî’yi </w:t>
      </w:r>
      <w:r w:rsidRPr="00C7561E">
        <w:rPr>
          <w:rFonts w:asciiTheme="majorBidi" w:hAnsiTheme="majorBidi" w:cstheme="majorBidi"/>
        </w:rPr>
        <w:lastRenderedPageBreak/>
        <w:t>okuduktan sonra Zemahşerî’yi, İbn Kesîr’den sonra Fahreddin er-Râzî’yi ve Kurtubî’den sonra İbn Atıyye’yi incelemesi, ilmî ufku genişletecek önemli bir tecrübe olacaktır.</w:t>
      </w:r>
    </w:p>
    <w:p w14:paraId="6EEADB84"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Sekizincisi:</w:t>
      </w:r>
      <w:r w:rsidRPr="00C7561E">
        <w:rPr>
          <w:rFonts w:asciiTheme="majorBidi" w:hAnsiTheme="majorBidi" w:cstheme="majorBidi"/>
        </w:rPr>
        <w:t xml:space="preserve"> Karşılaştırmalı tefsir ile diğer İslâmî ilimler arasındaki ilişkinin daha kapsamlı biçimde araştırılması gerekmektedir. Özellikle usûl-i fıkıh, kelâm ilmi ve dil felsefesi ile olan bağlantılar büyük önem taşımaktadır. Çünkü müfessirlerin ihtilaflarının önemli bir kısmı; umum-husus, mutlak-mukayyed ve zahir delilin hücciyeti gibi usûl meselelerinden veya sıfatlar, kader ve halku’l-Kur’ân gibi kelâmî arka planlardan kaynaklanmaktadır. Bu disiplinler arası çalışmalar, karşılaştırmalı tefsir alanına önemli katkılar sağlayacaktır.</w:t>
      </w:r>
    </w:p>
    <w:p w14:paraId="42F43D61"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b/>
          <w:bCs/>
        </w:rPr>
        <w:t>Dokuzuncusu:</w:t>
      </w:r>
      <w:r w:rsidRPr="00C7561E">
        <w:rPr>
          <w:rFonts w:asciiTheme="majorBidi" w:hAnsiTheme="majorBidi" w:cstheme="majorBidi"/>
        </w:rPr>
        <w:t xml:space="preserve"> Karşılaştırmalı tefsir alanında çalışma yapmayı planlayan araştırmacılara, başlangıçta sınırlı ve kontrollü örnekler üzerinde çalışmaları tavsiye edilmektedir. Örneğin tek bir ayet yahut birkaç ayet üzerinden metodolojik uygulama yapmak, geniş kapsamlı konulara doğrudan yönelmekten daha sağlıklı olacaktır. Çünkü bu alanda ilmî olgunluk ve metodolojik hâkimiyet, tedricî çalışma ile kazanılmaktadır.</w:t>
      </w:r>
    </w:p>
    <w:p w14:paraId="2EE397C4" w14:textId="77777777" w:rsidR="00C7561E" w:rsidRDefault="00C7561E" w:rsidP="00C7561E">
      <w:pPr>
        <w:spacing w:after="240" w:line="360" w:lineRule="auto"/>
        <w:jc w:val="lowKashida"/>
        <w:rPr>
          <w:rFonts w:asciiTheme="majorBidi" w:hAnsiTheme="majorBidi" w:cstheme="majorBidi"/>
          <w:rtl/>
        </w:rPr>
      </w:pPr>
      <w:r w:rsidRPr="00C7561E">
        <w:rPr>
          <w:rFonts w:asciiTheme="majorBidi" w:hAnsiTheme="majorBidi" w:cstheme="majorBidi"/>
          <w:b/>
          <w:bCs/>
        </w:rPr>
        <w:t>Onuncusu ve son olarak:</w:t>
      </w:r>
      <w:r w:rsidRPr="00C7561E">
        <w:rPr>
          <w:rFonts w:asciiTheme="majorBidi" w:hAnsiTheme="majorBidi" w:cstheme="majorBidi"/>
        </w:rPr>
        <w:t xml:space="preserve"> Bu tavsiyeleri okuyan her araştırmacının, hocanın ve ilim talebesinin niyetini Allah rızası için halis kılmasını temenni ediyorum. Kur’ân’a hizmet niyetiyle yapılan her ilmî çalışma, sabır, insaf ve akademik dürüstlük gerektirmektedir. Karşılaştırmalı tefsir zahmetli bir alan olsa da meyvesi son derece büyüktür. Çünkü bu ilim, kulun imkânı ölçüsünde Rabb’in kelâmını daha derin biçimde anlamaya yaklaşmasının yollarından biridir.</w:t>
      </w:r>
    </w:p>
    <w:p w14:paraId="659CCDAC" w14:textId="3F29CAE8" w:rsidR="00C7561E" w:rsidRPr="00CC24FB" w:rsidRDefault="00C7561E" w:rsidP="00CC24FB">
      <w:pPr>
        <w:pStyle w:val="ListParagraph"/>
        <w:numPr>
          <w:ilvl w:val="0"/>
          <w:numId w:val="5"/>
        </w:numPr>
        <w:spacing w:after="240" w:line="360" w:lineRule="auto"/>
        <w:ind w:left="357" w:hanging="357"/>
        <w:jc w:val="lowKashida"/>
        <w:rPr>
          <w:rFonts w:asciiTheme="majorBidi" w:hAnsiTheme="majorBidi" w:cstheme="majorBidi"/>
          <w:b/>
          <w:bCs/>
        </w:rPr>
      </w:pPr>
      <w:r w:rsidRPr="00CC24FB">
        <w:rPr>
          <w:rFonts w:asciiTheme="majorBidi" w:hAnsiTheme="majorBidi" w:cstheme="majorBidi"/>
          <w:b/>
          <w:bCs/>
        </w:rPr>
        <w:t>Gelecek Araştırmalar İçin Öneriler</w:t>
      </w:r>
    </w:p>
    <w:p w14:paraId="3622EB1D" w14:textId="77777777"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Bu çalışmada mukayeseli tefsirin mahiyeti, ortaya çıkışı, gelişim süreci ve farklı türleri ele alınmış; müfessirler arasındaki görüş ayrılıklarının ilmî ve metodolojik temelleri incelenmiştir. Bununla birlikte konu, sahip olduğu geniş kapsam sebebiyle hâlen derinleştirilmeye ihtiyaç duyan birçok araştırma alanını bünyesinde barındırmaktadır. Bu çerçevede gelecekte yapılabilecek akademik çalışmalar için şu öneriler sunulabilir:</w:t>
      </w:r>
    </w:p>
    <w:p w14:paraId="19D876C2" w14:textId="3B46E245"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 xml:space="preserve">Mukayeseli tefsirin klasik dönemden modern döneme kadar geçirdiği metodolojik dönüşümün müstakil çalışmalarla incelenmesi önem arz etmektedir. Özellikle klasik müfessirlerin karşılaştırmalı yaklaşımı ile çağdaş akademik mukayeseli tefsir yöntemleri arasındaki </w:t>
      </w:r>
      <w:r w:rsidRPr="00C7561E">
        <w:rPr>
          <w:rFonts w:asciiTheme="majorBidi" w:hAnsiTheme="majorBidi" w:cstheme="majorBidi"/>
        </w:rPr>
        <w:lastRenderedPageBreak/>
        <w:t>farklılıkların ortaya konulması, bu alanın teorik çerçevesinin daha sağlam temellere oturtulmasına katkı sağlayacaktır.</w:t>
      </w:r>
    </w:p>
    <w:p w14:paraId="542F70F6" w14:textId="4511DB35"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Belirli sûreler veya tematik konular üzerinden mukayeseli tefsir uygulamalarının artırılması gerekmektedir. Örneğin ahkâm ayetleri, kıssalar, kadın hakları, çevre ahlakı veya toplumsal adalet gibi konuların farklı tefsir ekolleri bağlamında karşılaştırmalı olarak incelenmesi, Kur’ân yorumlarının çeşitliliğini daha açık biçimde ortaya koyacaktır.</w:t>
      </w:r>
    </w:p>
    <w:p w14:paraId="0EF4CEA2" w14:textId="7587E0B2"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Müfessirlerin fikrî, mezhebî ve kültürel arka planlarının tefsir anlayışına etkisi üzerine disiplinlerarası araştırmalar yapılmalıdır. Böylece tefsirdeki görüş farklılıklarının yalnızca dilsel sebeplerden değil, aynı zamanda tarihî ve sosyolojik şartlardan da etkilendiği daha net biçimde anlaşılabilecektir.</w:t>
      </w:r>
    </w:p>
    <w:p w14:paraId="20E478B5" w14:textId="17A14002"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Mukayeseli tefsir ile usûl-i fıkıh, kelâm, dilbilim ve hermenötik arasındaki ilişkinin incelenmesi gelecekteki çalışmalar açısından önemli bir araştırma sahası oluşturmaktadır. Özellikle yorum teorileri bağlamında İslâmî ilimlerle modern yorum yöntemlerinin mukayesesi, yeni akademik perspektiflerin gelişmesine katkı sağlayabilir.</w:t>
      </w:r>
    </w:p>
    <w:p w14:paraId="6C40AC6D" w14:textId="5EC55024"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Dijital veri tabanları ve yapay zekâ destekli analiz yöntemlerinin mukayeseli tefsir çalışmalarında kullanılması teşvik edilmelidir. Özellikle klasik tefsir kaynaklarının dijital ortama aktarılması ve karşılaştırmalı analiz araçlarının geliştirilmesi, araştırmacıların daha sistematik ve kapsamlı incelemeler yapmasına imkân sağlayacaktır.</w:t>
      </w:r>
    </w:p>
    <w:p w14:paraId="61347738" w14:textId="4DDAE5FC"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Şiî, Sünnî, Mu‘tezilî, tasavvufî ve modernist tefsir ekolleri arasında gerçekleştirilecek mukayeseli çalışmaların artırılması, İslâm düşünce tarihindeki yorum çeşitliliğinin daha objektif biçimde anlaşılmasına katkıda bulunacaktır. Bu tür çalışmalar aynı zamanda mezhepler arası ilmî diyaloğun güçlenmesine de yardımcı olabilir.</w:t>
      </w:r>
    </w:p>
    <w:p w14:paraId="7105E67E" w14:textId="53EB5B46" w:rsidR="00C7561E" w:rsidRPr="00C7561E" w:rsidRDefault="00C7561E" w:rsidP="00C7561E">
      <w:pPr>
        <w:spacing w:after="240" w:line="360" w:lineRule="auto"/>
        <w:jc w:val="lowKashida"/>
        <w:rPr>
          <w:rFonts w:asciiTheme="majorBidi" w:hAnsiTheme="majorBidi" w:cstheme="majorBidi"/>
        </w:rPr>
      </w:pPr>
      <w:r w:rsidRPr="00C7561E">
        <w:rPr>
          <w:rFonts w:asciiTheme="majorBidi" w:hAnsiTheme="majorBidi" w:cstheme="majorBidi"/>
        </w:rPr>
        <w:t>Türkiye’de ve İslâm dünyasında mukayeseli tefsir alanında hazırlanmış lisansüstü tezlerin bibliyografik ve metodolojik analizine yönelik kapsamlı araştırmalar yapılmalıdır. Böylece alanın hangi konular üzerinde yoğunlaştığı ve hangi boşlukların hâlen mevcut olduğu daha açık biçimde tespit edilebilecektir.</w:t>
      </w:r>
    </w:p>
    <w:p w14:paraId="55375E18" w14:textId="618E9328" w:rsidR="00C7561E" w:rsidRDefault="00C7561E" w:rsidP="00C7561E">
      <w:pPr>
        <w:spacing w:after="240" w:line="360" w:lineRule="auto"/>
        <w:jc w:val="lowKashida"/>
        <w:rPr>
          <w:rFonts w:asciiTheme="majorBidi" w:hAnsiTheme="majorBidi" w:cstheme="majorBidi"/>
          <w:rtl/>
        </w:rPr>
      </w:pPr>
      <w:r w:rsidRPr="00C7561E">
        <w:rPr>
          <w:rFonts w:asciiTheme="majorBidi" w:hAnsiTheme="majorBidi" w:cstheme="majorBidi"/>
        </w:rPr>
        <w:lastRenderedPageBreak/>
        <w:t>Sonuç olarak mukayeseli tefsir, yalnızca farklı yorumları bir araya getiren teknik bir yöntem değil; aynı zamanda Kur’ân’ın çok boyutlu anlam dünyasını keşfetmeye yardımcı olan ilmî bir yaklaşım niteliği taşımaktadır. Bu sebeple gelecekte yapılacak çalışmaların, hem klasik tefsir mirasını yeniden değerlendirmesi hem de çağdaş problemlere Kur’ân merkezli çözümler üretmesi açısından büyük önem taşıdığı kanaatine varılmıştır.</w:t>
      </w:r>
    </w:p>
    <w:p w14:paraId="008537AA" w14:textId="77777777" w:rsidR="00C7561E" w:rsidRDefault="00C7561E" w:rsidP="00C7561E">
      <w:pPr>
        <w:spacing w:after="240" w:line="360" w:lineRule="auto"/>
        <w:jc w:val="lowKashida"/>
        <w:rPr>
          <w:rFonts w:asciiTheme="majorBidi" w:hAnsiTheme="majorBidi" w:cstheme="majorBidi"/>
          <w:rtl/>
        </w:rPr>
      </w:pPr>
    </w:p>
    <w:p w14:paraId="6F596602" w14:textId="77777777" w:rsidR="00C7561E" w:rsidRDefault="00C7561E" w:rsidP="00C7561E">
      <w:pPr>
        <w:spacing w:after="240" w:line="360" w:lineRule="auto"/>
        <w:jc w:val="lowKashida"/>
        <w:rPr>
          <w:rFonts w:asciiTheme="majorBidi" w:hAnsiTheme="majorBidi" w:cstheme="majorBidi"/>
          <w:rtl/>
        </w:rPr>
      </w:pPr>
    </w:p>
    <w:p w14:paraId="6E916C54" w14:textId="77777777" w:rsidR="00C7561E" w:rsidRDefault="00C7561E" w:rsidP="00C7561E">
      <w:pPr>
        <w:spacing w:after="240" w:line="360" w:lineRule="auto"/>
        <w:jc w:val="lowKashida"/>
        <w:rPr>
          <w:rFonts w:asciiTheme="majorBidi" w:hAnsiTheme="majorBidi" w:cstheme="majorBidi"/>
          <w:rtl/>
        </w:rPr>
      </w:pPr>
    </w:p>
    <w:p w14:paraId="75ABBF87" w14:textId="77777777" w:rsidR="00DA48B2" w:rsidRDefault="00DA48B2" w:rsidP="00C7561E">
      <w:pPr>
        <w:spacing w:after="240" w:line="360" w:lineRule="auto"/>
        <w:jc w:val="lowKashida"/>
        <w:rPr>
          <w:rFonts w:asciiTheme="majorBidi" w:hAnsiTheme="majorBidi" w:cstheme="majorBidi"/>
          <w:rtl/>
        </w:rPr>
      </w:pPr>
    </w:p>
    <w:p w14:paraId="1605E5CB" w14:textId="77777777" w:rsidR="00DA48B2" w:rsidRDefault="00DA48B2" w:rsidP="00C7561E">
      <w:pPr>
        <w:spacing w:after="240" w:line="360" w:lineRule="auto"/>
        <w:jc w:val="lowKashida"/>
        <w:rPr>
          <w:rFonts w:asciiTheme="majorBidi" w:hAnsiTheme="majorBidi" w:cstheme="majorBidi"/>
          <w:rtl/>
        </w:rPr>
      </w:pPr>
    </w:p>
    <w:p w14:paraId="5EEED92E" w14:textId="77777777" w:rsidR="00DA48B2" w:rsidRDefault="00DA48B2" w:rsidP="00C7561E">
      <w:pPr>
        <w:spacing w:after="240" w:line="360" w:lineRule="auto"/>
        <w:jc w:val="lowKashida"/>
        <w:rPr>
          <w:rFonts w:asciiTheme="majorBidi" w:hAnsiTheme="majorBidi" w:cstheme="majorBidi"/>
          <w:rtl/>
        </w:rPr>
      </w:pPr>
    </w:p>
    <w:p w14:paraId="29D73083" w14:textId="77777777" w:rsidR="00DA48B2" w:rsidRDefault="00DA48B2" w:rsidP="00C7561E">
      <w:pPr>
        <w:spacing w:after="240" w:line="360" w:lineRule="auto"/>
        <w:jc w:val="lowKashida"/>
        <w:rPr>
          <w:rFonts w:asciiTheme="majorBidi" w:hAnsiTheme="majorBidi" w:cstheme="majorBidi"/>
          <w:rtl/>
        </w:rPr>
      </w:pPr>
    </w:p>
    <w:p w14:paraId="4E57863D" w14:textId="77777777" w:rsidR="00DA48B2" w:rsidRDefault="00DA48B2" w:rsidP="00C7561E">
      <w:pPr>
        <w:spacing w:after="240" w:line="360" w:lineRule="auto"/>
        <w:jc w:val="lowKashida"/>
        <w:rPr>
          <w:rFonts w:asciiTheme="majorBidi" w:hAnsiTheme="majorBidi" w:cstheme="majorBidi"/>
          <w:rtl/>
        </w:rPr>
      </w:pPr>
    </w:p>
    <w:p w14:paraId="51DFBC9A" w14:textId="77777777" w:rsidR="00DA48B2" w:rsidRDefault="00DA48B2" w:rsidP="00C7561E">
      <w:pPr>
        <w:spacing w:after="240" w:line="360" w:lineRule="auto"/>
        <w:jc w:val="lowKashida"/>
        <w:rPr>
          <w:rFonts w:asciiTheme="majorBidi" w:hAnsiTheme="majorBidi" w:cstheme="majorBidi"/>
          <w:rtl/>
        </w:rPr>
      </w:pPr>
    </w:p>
    <w:p w14:paraId="05C2F25F" w14:textId="77777777" w:rsidR="00DA48B2" w:rsidRDefault="00DA48B2" w:rsidP="00C7561E">
      <w:pPr>
        <w:spacing w:after="240" w:line="360" w:lineRule="auto"/>
        <w:jc w:val="lowKashida"/>
        <w:rPr>
          <w:rFonts w:asciiTheme="majorBidi" w:hAnsiTheme="majorBidi" w:cstheme="majorBidi"/>
          <w:rtl/>
        </w:rPr>
      </w:pPr>
    </w:p>
    <w:p w14:paraId="7166B0A7" w14:textId="77777777" w:rsidR="00DA48B2" w:rsidRDefault="00DA48B2" w:rsidP="00C7561E">
      <w:pPr>
        <w:spacing w:after="240" w:line="360" w:lineRule="auto"/>
        <w:jc w:val="lowKashida"/>
        <w:rPr>
          <w:rFonts w:asciiTheme="majorBidi" w:hAnsiTheme="majorBidi" w:cstheme="majorBidi"/>
          <w:rtl/>
        </w:rPr>
      </w:pPr>
    </w:p>
    <w:p w14:paraId="44507355" w14:textId="77777777" w:rsidR="00DA48B2" w:rsidRDefault="00DA48B2" w:rsidP="00C7561E">
      <w:pPr>
        <w:spacing w:after="240" w:line="360" w:lineRule="auto"/>
        <w:jc w:val="lowKashida"/>
        <w:rPr>
          <w:rFonts w:asciiTheme="majorBidi" w:hAnsiTheme="majorBidi" w:cstheme="majorBidi"/>
          <w:rtl/>
        </w:rPr>
      </w:pPr>
    </w:p>
    <w:p w14:paraId="7FB8D923" w14:textId="77777777" w:rsidR="00C7561E" w:rsidRDefault="00C7561E" w:rsidP="00C7561E">
      <w:pPr>
        <w:spacing w:after="240" w:line="360" w:lineRule="auto"/>
        <w:jc w:val="lowKashida"/>
        <w:rPr>
          <w:rFonts w:asciiTheme="majorBidi" w:hAnsiTheme="majorBidi" w:cstheme="majorBidi"/>
          <w:rtl/>
        </w:rPr>
      </w:pPr>
    </w:p>
    <w:p w14:paraId="4DA98CB3" w14:textId="77777777" w:rsidR="00C7561E" w:rsidRDefault="00C7561E" w:rsidP="00C7561E">
      <w:pPr>
        <w:spacing w:after="240" w:line="360" w:lineRule="auto"/>
        <w:jc w:val="lowKashida"/>
        <w:rPr>
          <w:rFonts w:asciiTheme="majorBidi" w:hAnsiTheme="majorBidi" w:cstheme="majorBidi"/>
          <w:rtl/>
        </w:rPr>
      </w:pPr>
    </w:p>
    <w:p w14:paraId="79356050" w14:textId="77777777" w:rsidR="00C7561E" w:rsidRDefault="00C7561E" w:rsidP="00C7561E">
      <w:pPr>
        <w:spacing w:after="240" w:line="360" w:lineRule="auto"/>
        <w:jc w:val="lowKashida"/>
        <w:rPr>
          <w:rFonts w:asciiTheme="majorBidi" w:hAnsiTheme="majorBidi" w:cstheme="majorBidi"/>
          <w:rtl/>
        </w:rPr>
      </w:pPr>
    </w:p>
    <w:p w14:paraId="5BE8C6CB" w14:textId="77777777" w:rsidR="00C7561E" w:rsidRPr="00C7561E" w:rsidRDefault="00C7561E" w:rsidP="00C7561E">
      <w:pPr>
        <w:spacing w:after="240" w:line="360" w:lineRule="auto"/>
        <w:jc w:val="lowKashida"/>
        <w:rPr>
          <w:rFonts w:asciiTheme="majorBidi" w:hAnsiTheme="majorBidi" w:cstheme="majorBidi"/>
        </w:rPr>
      </w:pPr>
    </w:p>
    <w:p w14:paraId="266744B5" w14:textId="07BF8DE4" w:rsidR="00C7561E" w:rsidRPr="007B3873" w:rsidRDefault="00C7561E" w:rsidP="007B3873">
      <w:pPr>
        <w:pStyle w:val="ListParagraph"/>
        <w:numPr>
          <w:ilvl w:val="0"/>
          <w:numId w:val="5"/>
        </w:numPr>
        <w:spacing w:after="240" w:line="360" w:lineRule="auto"/>
        <w:jc w:val="lowKashida"/>
        <w:rPr>
          <w:rFonts w:asciiTheme="majorBidi" w:hAnsiTheme="majorBidi" w:cstheme="majorBidi"/>
          <w:b/>
          <w:bCs/>
        </w:rPr>
      </w:pPr>
      <w:r w:rsidRPr="007B3873">
        <w:rPr>
          <w:rFonts w:asciiTheme="majorBidi" w:hAnsiTheme="majorBidi" w:cstheme="majorBidi"/>
          <w:b/>
          <w:bCs/>
        </w:rPr>
        <w:lastRenderedPageBreak/>
        <w:t>Kaynaklar</w:t>
      </w:r>
    </w:p>
    <w:p w14:paraId="1C9D796D"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Nukhba, Ghulam, Mustafa, (Afghanistan: Journal of Islamic Studies, 2024), Volume 1, Issue 2, (71-89)</w:t>
      </w:r>
    </w:p>
    <w:p w14:paraId="4455774D"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Al-Darabieh, Sami, Yusuf, and Al-Zayut, Abdullah Ahmad, Methodology of Comparative Interpretation: A Theoretical and Applied Study. Al-Sirat, (Algeria, General Directorate of Scientific Research and Technological Development, 2025), Volume 27, Issue 1, pp. 143-180</w:t>
      </w:r>
    </w:p>
    <w:p w14:paraId="183CBF6E"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Al-Waqisi, Abd al-Wahhab Abd Allah, Comparative Interpretation Between Theory and Application, (Egypt: Dar al-Nafais, 2015), 1st ed.</w:t>
      </w:r>
    </w:p>
    <w:p w14:paraId="2DBC8976"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Ibn Taymiyyah, al-Harrani, Ahmad ibn Abd al-Halim ibn Taymiyyah, Majmu' Fatawa Ibn Taymiyyah, (1998), https://www.islamweb.net/ar/library/content/22/1401/</w:t>
      </w:r>
    </w:p>
    <w:p w14:paraId="4C9681B4"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Al-Zarqani, Muhammad Abd al-Azim, Manahil al-Irfan fi Ulum al-Qur'an, (Dar Ihya' al-Kitab al-Arabiyyah, no edition or date) 1/47</w:t>
      </w:r>
    </w:p>
    <w:p w14:paraId="6224C3A3"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Ibn Faris, Ahmad ibn Faris ibn Zakariya, (1414 AH), Mu'jam Maqayis al-Lughah, p. 883; Ibn Manzur, (Beirut, Lisan al-Arab, Dar Sar, p. 4) entry (Qarn), 12/86-91</w:t>
      </w:r>
    </w:p>
    <w:p w14:paraId="30DDC66A"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Al-Mashni, Mustafa Ibrahim (2006), Comparative Interpretation: A Foundational Study, (manuscript), University of Sharjah, Journal of Sharia and Law, Issue (26), Rabi' al-Awwal, p. 145</w:t>
      </w:r>
    </w:p>
    <w:p w14:paraId="0845D219"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Al-Kumi, Ahmad al-Sayyid, and Muhammad Ahmad Yusuf al-Qasim, Thematic Interpretation of the Holy Qur'an, (Cairo: Dar al-Hudayn, 1980), 1st ed., p. 17</w:t>
      </w:r>
    </w:p>
    <w:p w14:paraId="1B8CF87C"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Far'un, Rawda Abd al-Karim, Comparative Interpretation: A Theoretical and Applied Study on Surah al-Fatihah, (Amman: Islamic Sciences University, 2011), p. 35</w:t>
      </w:r>
    </w:p>
    <w:p w14:paraId="577EC025"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Ibn Atiyyah, Qadi Abd al-Haqq Ghalib al-Gharnati, d. 541 AH, Al-Muharrar al-Wajiz, edited by al-Rahali al-Faruqi and colleagues, 1st ed., (Dar al-Ulum, Qatar, 1977)</w:t>
      </w:r>
    </w:p>
    <w:p w14:paraId="3111D7F4"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Al-Muharrar al-Wajiz 1/10</w:t>
      </w:r>
    </w:p>
    <w:p w14:paraId="69194491"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Al-Dhahabi, Muhammad Husayn, Siyar A'lam al-Nubala', 3/350, No. 51, Part 3, p. 331</w:t>
      </w:r>
    </w:p>
    <w:p w14:paraId="09685CC0"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Al-Mashni, Mustafa Ibrahim, Comparative Interpretation: A Study Foundational, (Jordan, University of Jordan, Al-Shamilah Al-Dhahabiyyah, 2024), 1-31</w:t>
      </w:r>
    </w:p>
    <w:p w14:paraId="32FE9EFF"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Al-Suyuti, Jalal al-Din Abd al-Rahman, 911 AH, Al-Itqan fi Ulum al-Qur'an (Cairo, Mustafa al-Babi al-Halabi Library, 1951), 3rd ed., 2/190</w:t>
      </w:r>
    </w:p>
    <w:p w14:paraId="73C7C417"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Thematic Interpretation of the Noble Qur'an, pp. 15-16</w:t>
      </w:r>
    </w:p>
    <w:p w14:paraId="7E66E6C8"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lastRenderedPageBreak/>
        <w:t>Comparative Interpretation: A Foundational Study, p. 14</w:t>
      </w:r>
    </w:p>
    <w:p w14:paraId="2B40D6F3"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The Noble Qur'an, Surah Al-Fatihah, verse 6</w:t>
      </w:r>
    </w:p>
    <w:p w14:paraId="46CD4EE9"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Abu Hayyan, Ahmad ibn Yusuf al-Andalusi al-Gharnazi, 754 AH (Beirut, Dar al-Fikr, 1992), 1/21</w:t>
      </w:r>
    </w:p>
    <w:p w14:paraId="6F5C8D14"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Ibn Taymiyyah, Imam Ahmad ibn Abd al-Halim, 728 AH, Introduction to the Principles of Interpretation, compiled and arranged by Ibn al-Qasim, 1st ed., 1839 CE</w:t>
      </w:r>
    </w:p>
    <w:p w14:paraId="42A3D259"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Comparative Interpretation: A Foundational Study, p. 15</w:t>
      </w:r>
    </w:p>
    <w:p w14:paraId="46CE7946"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Comparative Interpretation: A Foundational Study, p. 18</w:t>
      </w:r>
    </w:p>
    <w:p w14:paraId="358F4007" w14:textId="77777777" w:rsidR="00C7561E"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Far'u, Rawdah Abd al-Karim, 2015 p. 29</w:t>
      </w:r>
    </w:p>
    <w:p w14:paraId="0858B785" w14:textId="0D0B660A" w:rsidR="00DD0117" w:rsidRPr="00C7561E" w:rsidRDefault="00C7561E" w:rsidP="00C7561E">
      <w:pPr>
        <w:pStyle w:val="ListParagraph"/>
        <w:numPr>
          <w:ilvl w:val="0"/>
          <w:numId w:val="4"/>
        </w:numPr>
        <w:spacing w:after="240" w:line="360" w:lineRule="auto"/>
        <w:jc w:val="lowKashida"/>
        <w:rPr>
          <w:rFonts w:asciiTheme="majorBidi" w:hAnsiTheme="majorBidi" w:cstheme="majorBidi"/>
        </w:rPr>
      </w:pPr>
      <w:r w:rsidRPr="00C7561E">
        <w:rPr>
          <w:rFonts w:asciiTheme="majorBidi" w:hAnsiTheme="majorBidi" w:cstheme="majorBidi"/>
        </w:rPr>
        <w:t>Fahd al-Rumi, Research in the Principles and Methods of Interpretation (Riyadh: Maktabat al-Tawbah, 4th ed., 1419 AH), p. 61</w:t>
      </w:r>
    </w:p>
    <w:sectPr w:rsidR="00DD0117" w:rsidRPr="00C75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412"/>
    <w:multiLevelType w:val="multilevel"/>
    <w:tmpl w:val="AA609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C61AF"/>
    <w:multiLevelType w:val="multilevel"/>
    <w:tmpl w:val="84AEA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13323"/>
    <w:multiLevelType w:val="hybridMultilevel"/>
    <w:tmpl w:val="0F50B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720C9"/>
    <w:multiLevelType w:val="hybridMultilevel"/>
    <w:tmpl w:val="712C4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0348E2"/>
    <w:multiLevelType w:val="multilevel"/>
    <w:tmpl w:val="8AB4B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7667441">
    <w:abstractNumId w:val="4"/>
  </w:num>
  <w:num w:numId="2" w16cid:durableId="1684547843">
    <w:abstractNumId w:val="1"/>
  </w:num>
  <w:num w:numId="3" w16cid:durableId="577328888">
    <w:abstractNumId w:val="0"/>
  </w:num>
  <w:num w:numId="4" w16cid:durableId="1316572645">
    <w:abstractNumId w:val="2"/>
  </w:num>
  <w:num w:numId="5" w16cid:durableId="2036882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61E"/>
    <w:rsid w:val="00033A4F"/>
    <w:rsid w:val="0004758D"/>
    <w:rsid w:val="00097F4C"/>
    <w:rsid w:val="000D06AA"/>
    <w:rsid w:val="00117667"/>
    <w:rsid w:val="00173F30"/>
    <w:rsid w:val="00237B0C"/>
    <w:rsid w:val="002823FA"/>
    <w:rsid w:val="002A19F2"/>
    <w:rsid w:val="003F52CF"/>
    <w:rsid w:val="004E48CB"/>
    <w:rsid w:val="00591298"/>
    <w:rsid w:val="006F5EF0"/>
    <w:rsid w:val="007B3873"/>
    <w:rsid w:val="008E08C8"/>
    <w:rsid w:val="00A57B31"/>
    <w:rsid w:val="00A6774E"/>
    <w:rsid w:val="00AF7AF4"/>
    <w:rsid w:val="00B60E87"/>
    <w:rsid w:val="00BA5625"/>
    <w:rsid w:val="00C52E68"/>
    <w:rsid w:val="00C7561E"/>
    <w:rsid w:val="00CC24FB"/>
    <w:rsid w:val="00D20B95"/>
    <w:rsid w:val="00DA48B2"/>
    <w:rsid w:val="00DD0117"/>
    <w:rsid w:val="00E03E8F"/>
    <w:rsid w:val="00E83444"/>
    <w:rsid w:val="00EF61C3"/>
    <w:rsid w:val="00F351CE"/>
    <w:rsid w:val="00FA2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5A934"/>
  <w15:chartTrackingRefBased/>
  <w15:docId w15:val="{6D693E05-0265-4962-B23B-6BD34916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6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56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56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56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56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5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6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56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56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56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56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5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61E"/>
    <w:rPr>
      <w:rFonts w:eastAsiaTheme="majorEastAsia" w:cstheme="majorBidi"/>
      <w:color w:val="272727" w:themeColor="text1" w:themeTint="D8"/>
    </w:rPr>
  </w:style>
  <w:style w:type="paragraph" w:styleId="Title">
    <w:name w:val="Title"/>
    <w:basedOn w:val="Normal"/>
    <w:next w:val="Normal"/>
    <w:link w:val="TitleChar"/>
    <w:uiPriority w:val="10"/>
    <w:qFormat/>
    <w:rsid w:val="00C75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61E"/>
    <w:pPr>
      <w:spacing w:before="160"/>
      <w:jc w:val="center"/>
    </w:pPr>
    <w:rPr>
      <w:i/>
      <w:iCs/>
      <w:color w:val="404040" w:themeColor="text1" w:themeTint="BF"/>
    </w:rPr>
  </w:style>
  <w:style w:type="character" w:customStyle="1" w:styleId="QuoteChar">
    <w:name w:val="Quote Char"/>
    <w:basedOn w:val="DefaultParagraphFont"/>
    <w:link w:val="Quote"/>
    <w:uiPriority w:val="29"/>
    <w:rsid w:val="00C7561E"/>
    <w:rPr>
      <w:i/>
      <w:iCs/>
      <w:color w:val="404040" w:themeColor="text1" w:themeTint="BF"/>
    </w:rPr>
  </w:style>
  <w:style w:type="paragraph" w:styleId="ListParagraph">
    <w:name w:val="List Paragraph"/>
    <w:basedOn w:val="Normal"/>
    <w:uiPriority w:val="34"/>
    <w:qFormat/>
    <w:rsid w:val="00C7561E"/>
    <w:pPr>
      <w:ind w:left="720"/>
      <w:contextualSpacing/>
    </w:pPr>
  </w:style>
  <w:style w:type="character" w:styleId="IntenseEmphasis">
    <w:name w:val="Intense Emphasis"/>
    <w:basedOn w:val="DefaultParagraphFont"/>
    <w:uiPriority w:val="21"/>
    <w:qFormat/>
    <w:rsid w:val="00C7561E"/>
    <w:rPr>
      <w:i/>
      <w:iCs/>
      <w:color w:val="2F5496" w:themeColor="accent1" w:themeShade="BF"/>
    </w:rPr>
  </w:style>
  <w:style w:type="paragraph" w:styleId="IntenseQuote">
    <w:name w:val="Intense Quote"/>
    <w:basedOn w:val="Normal"/>
    <w:next w:val="Normal"/>
    <w:link w:val="IntenseQuoteChar"/>
    <w:uiPriority w:val="30"/>
    <w:qFormat/>
    <w:rsid w:val="00C756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561E"/>
    <w:rPr>
      <w:i/>
      <w:iCs/>
      <w:color w:val="2F5496" w:themeColor="accent1" w:themeShade="BF"/>
    </w:rPr>
  </w:style>
  <w:style w:type="character" w:styleId="IntenseReference">
    <w:name w:val="Intense Reference"/>
    <w:basedOn w:val="DefaultParagraphFont"/>
    <w:uiPriority w:val="32"/>
    <w:qFormat/>
    <w:rsid w:val="00C7561E"/>
    <w:rPr>
      <w:b/>
      <w:bCs/>
      <w:smallCaps/>
      <w:color w:val="2F5496" w:themeColor="accent1" w:themeShade="BF"/>
      <w:spacing w:val="5"/>
    </w:rPr>
  </w:style>
  <w:style w:type="paragraph" w:styleId="NormalWeb">
    <w:name w:val="Normal (Web)"/>
    <w:basedOn w:val="Normal"/>
    <w:uiPriority w:val="99"/>
    <w:semiHidden/>
    <w:unhideWhenUsed/>
    <w:rsid w:val="00DA48B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3475</Words>
  <Characters>19810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Rania Zaki Yousef Barakat</dc:creator>
  <cp:keywords/>
  <dc:description/>
  <cp:lastModifiedBy>Rania Zaki Yousef Barakat</cp:lastModifiedBy>
  <cp:revision>7</cp:revision>
  <dcterms:created xsi:type="dcterms:W3CDTF">2026-05-07T12:20:00Z</dcterms:created>
  <dcterms:modified xsi:type="dcterms:W3CDTF">2026-05-07T16:33:00Z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9d5d0bde-ae7b-4680-9bc8-6cbba5cac064</vt:lpwstr>
  </property>
</Properties>
</file>