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41E77" w14:textId="77777777" w:rsidR="00B8798D" w:rsidRDefault="00B8798D" w:rsidP="00B8798D">
      <w:pPr>
        <w:rPr>
          <w:b/>
          <w:bCs/>
          <w:sz w:val="28"/>
          <w:szCs w:val="28"/>
        </w:rPr>
      </w:pPr>
      <w:r w:rsidRPr="00152AFE">
        <w:rPr>
          <w:b/>
          <w:bCs/>
          <w:sz w:val="28"/>
          <w:szCs w:val="28"/>
        </w:rPr>
        <w:t>Nikâh Hukuku Bağlamında Kadın Haklarının Gelişimi</w:t>
      </w:r>
    </w:p>
    <w:p w14:paraId="7EE19F8E" w14:textId="77777777" w:rsidR="00B8798D" w:rsidRPr="00D3551F" w:rsidRDefault="00B8798D" w:rsidP="00B8798D">
      <w:pPr>
        <w:rPr>
          <w:sz w:val="28"/>
          <w:szCs w:val="28"/>
        </w:rPr>
      </w:pPr>
      <w:r w:rsidRPr="00636D8C">
        <w:rPr>
          <w:sz w:val="28"/>
          <w:szCs w:val="28"/>
        </w:rPr>
        <w:t>İslam Aile Hukuku</w:t>
      </w:r>
      <w:r>
        <w:rPr>
          <w:sz w:val="28"/>
          <w:szCs w:val="28"/>
        </w:rPr>
        <w:t xml:space="preserve"> ve İslam Öncesi Toplumların U</w:t>
      </w:r>
      <w:r w:rsidRPr="00352BEB">
        <w:rPr>
          <w:sz w:val="28"/>
          <w:szCs w:val="28"/>
        </w:rPr>
        <w:t>ygulama</w:t>
      </w:r>
      <w:r>
        <w:rPr>
          <w:sz w:val="28"/>
          <w:szCs w:val="28"/>
        </w:rPr>
        <w:t xml:space="preserve">ları </w:t>
      </w:r>
      <w:r w:rsidRPr="00636D8C">
        <w:rPr>
          <w:sz w:val="28"/>
          <w:szCs w:val="28"/>
        </w:rPr>
        <w:t xml:space="preserve">ve </w:t>
      </w:r>
      <w:r>
        <w:rPr>
          <w:sz w:val="28"/>
          <w:szCs w:val="28"/>
        </w:rPr>
        <w:t>H</w:t>
      </w:r>
      <w:r w:rsidRPr="00636D8C">
        <w:rPr>
          <w:sz w:val="28"/>
          <w:szCs w:val="28"/>
        </w:rPr>
        <w:t>ukuk Gelenekleri Üzerine Mukayeseli Bir İnceleme</w:t>
      </w:r>
    </w:p>
    <w:p w14:paraId="30B3131B" w14:textId="77777777" w:rsidR="00B8798D" w:rsidRPr="00724EB6" w:rsidRDefault="00B8798D" w:rsidP="00B8798D">
      <w:pPr>
        <w:rPr>
          <w:b/>
          <w:bCs/>
          <w:i/>
          <w:iCs/>
          <w:lang w:val="en-US"/>
        </w:rPr>
      </w:pPr>
      <w:r w:rsidRPr="00152AFE">
        <w:rPr>
          <w:b/>
          <w:bCs/>
          <w:i/>
          <w:iCs/>
          <w:lang w:val="en-US"/>
        </w:rPr>
        <w:t xml:space="preserve">The development of </w:t>
      </w:r>
      <w:proofErr w:type="spellStart"/>
      <w:r w:rsidRPr="00152AFE">
        <w:rPr>
          <w:b/>
          <w:bCs/>
          <w:i/>
          <w:iCs/>
          <w:lang w:val="en-US"/>
        </w:rPr>
        <w:t>womens</w:t>
      </w:r>
      <w:proofErr w:type="spellEnd"/>
      <w:r w:rsidRPr="00152AFE">
        <w:rPr>
          <w:b/>
          <w:bCs/>
          <w:i/>
          <w:iCs/>
          <w:lang w:val="en-US"/>
        </w:rPr>
        <w:t xml:space="preserve"> rights in </w:t>
      </w:r>
      <w:r>
        <w:rPr>
          <w:b/>
          <w:bCs/>
          <w:i/>
          <w:iCs/>
          <w:lang w:val="en-US"/>
        </w:rPr>
        <w:t xml:space="preserve">context of the law of </w:t>
      </w:r>
      <w:r w:rsidRPr="00152AFE">
        <w:rPr>
          <w:b/>
          <w:bCs/>
          <w:i/>
          <w:iCs/>
          <w:lang w:val="en-US"/>
        </w:rPr>
        <w:t xml:space="preserve">marriage </w:t>
      </w:r>
    </w:p>
    <w:p w14:paraId="60F0CAD9" w14:textId="77777777" w:rsidR="00B8798D" w:rsidRDefault="00B8798D" w:rsidP="00B8798D">
      <w:r>
        <w:rPr>
          <w:lang w:val="en-US"/>
        </w:rPr>
        <w:t xml:space="preserve">Melike </w:t>
      </w:r>
      <w:r>
        <w:t xml:space="preserve">Keyik </w:t>
      </w:r>
    </w:p>
    <w:p w14:paraId="10A2D115" w14:textId="77777777" w:rsidR="00B8798D" w:rsidRDefault="00B8798D" w:rsidP="00B8798D">
      <w:r>
        <w:t>Ankara, Mayıs 2026</w:t>
      </w:r>
    </w:p>
    <w:p w14:paraId="513BDBD5" w14:textId="77777777" w:rsidR="00B8798D" w:rsidRDefault="00B8798D" w:rsidP="00B8798D">
      <w:pPr>
        <w:pStyle w:val="berschrift2"/>
      </w:pPr>
      <w:r>
        <w:t xml:space="preserve">Öz: </w:t>
      </w:r>
    </w:p>
    <w:p w14:paraId="006D65FB" w14:textId="77777777" w:rsidR="00B8798D" w:rsidRPr="003B4AE3" w:rsidRDefault="00B8798D" w:rsidP="00B8798D">
      <w:pPr>
        <w:jc w:val="both"/>
      </w:pPr>
      <w:r w:rsidRPr="00FA3A9A">
        <w:t xml:space="preserve">Bu çalışma, nikâh hukuku bağlamında kadın haklarını İslâm aile hukuku ile İslâm öncesi toplumların evlilik pratik ve hukuk gelenekleri üzerinden mukayeseli olarak ele almaktadır. </w:t>
      </w:r>
      <w:r>
        <w:t xml:space="preserve">Yahudi, </w:t>
      </w:r>
      <w:proofErr w:type="spellStart"/>
      <w:r w:rsidRPr="00FA3A9A">
        <w:t>Câhiliye</w:t>
      </w:r>
      <w:proofErr w:type="spellEnd"/>
      <w:r w:rsidRPr="00FA3A9A">
        <w:t xml:space="preserve"> ve diğer kadim toplumlarda kadının evlilik içindeki statüsü, </w:t>
      </w:r>
      <w:proofErr w:type="spellStart"/>
      <w:r w:rsidRPr="00FA3A9A">
        <w:t>mehir</w:t>
      </w:r>
      <w:proofErr w:type="spellEnd"/>
      <w:r w:rsidRPr="00FA3A9A">
        <w:t xml:space="preserve">, nafaka, velâyet ve boşanma alanlarındaki hak ve yetkileri tespit edilerek, bu yapıların </w:t>
      </w:r>
      <w:proofErr w:type="spellStart"/>
      <w:r w:rsidRPr="00FA3A9A">
        <w:t>Kur’ân</w:t>
      </w:r>
      <w:proofErr w:type="spellEnd"/>
      <w:r w:rsidRPr="00FA3A9A">
        <w:t xml:space="preserve">, Sünnet ve klasik fıkıh doktrininin nikâh hükümleriyle nasıl dönüştürüldüğü ve yeniden düzenlendiği analiz edilmektedir. Çalışma, İslâm hukukunun İslâm öncesi kadın aleyhine uygulamaların önemli bir kısmını sınırlayıp ıslah ederken, bazı ataerkil formları sorumluluk-adalet ekseninde koruduğunu; çağdaş kadın hakları tartışmalarında metin, </w:t>
      </w:r>
      <w:proofErr w:type="gramStart"/>
      <w:r w:rsidRPr="00FA3A9A">
        <w:t>doktrin</w:t>
      </w:r>
      <w:proofErr w:type="gramEnd"/>
      <w:r w:rsidRPr="00FA3A9A">
        <w:t xml:space="preserve"> ve toplumsal pratik arasındaki gerilim hattını görünür kılmanın önemini ortaya koymaktadır</w:t>
      </w:r>
      <w:r>
        <w:t>.</w:t>
      </w:r>
    </w:p>
    <w:p w14:paraId="7FEDFB5D" w14:textId="77777777" w:rsidR="00B8798D" w:rsidRDefault="00B8798D" w:rsidP="00B8798D">
      <w:pPr>
        <w:jc w:val="both"/>
      </w:pPr>
      <w:r>
        <w:t xml:space="preserve">Anahtar </w:t>
      </w:r>
      <w:proofErr w:type="gramStart"/>
      <w:r>
        <w:t>Sözcükler :</w:t>
      </w:r>
      <w:proofErr w:type="gramEnd"/>
      <w:r>
        <w:t xml:space="preserve"> Kadın, Kadın hakları, Evlilik, İslam hukuku, Yahudilik </w:t>
      </w:r>
    </w:p>
    <w:p w14:paraId="67D10CEE" w14:textId="77777777" w:rsidR="00B8798D" w:rsidRDefault="00B8798D" w:rsidP="00B8798D">
      <w:pPr>
        <w:jc w:val="both"/>
      </w:pPr>
    </w:p>
    <w:p w14:paraId="59E9EC4A" w14:textId="77777777" w:rsidR="00B8798D" w:rsidRDefault="00B8798D" w:rsidP="00B8798D">
      <w:pPr>
        <w:jc w:val="both"/>
      </w:pPr>
      <w:proofErr w:type="spellStart"/>
      <w:r>
        <w:t>Abstract</w:t>
      </w:r>
      <w:proofErr w:type="spellEnd"/>
      <w:r>
        <w:t>:</w:t>
      </w:r>
    </w:p>
    <w:p w14:paraId="7E1AA6F3" w14:textId="77777777" w:rsidR="00B8798D" w:rsidRDefault="00B8798D" w:rsidP="00B8798D">
      <w:pPr>
        <w:jc w:val="both"/>
      </w:pPr>
      <w:proofErr w:type="spellStart"/>
      <w:r w:rsidRPr="00724EB6">
        <w:t>This</w:t>
      </w:r>
      <w:proofErr w:type="spellEnd"/>
      <w:r w:rsidRPr="00724EB6">
        <w:t xml:space="preserve"> </w:t>
      </w:r>
      <w:proofErr w:type="spellStart"/>
      <w:r w:rsidRPr="00724EB6">
        <w:t>article</w:t>
      </w:r>
      <w:proofErr w:type="spellEnd"/>
      <w:r w:rsidRPr="00724EB6">
        <w:t xml:space="preserve"> </w:t>
      </w:r>
      <w:proofErr w:type="spellStart"/>
      <w:r w:rsidRPr="00724EB6">
        <w:t>examines</w:t>
      </w:r>
      <w:proofErr w:type="spellEnd"/>
      <w:r w:rsidRPr="00724EB6">
        <w:t xml:space="preserve"> </w:t>
      </w:r>
      <w:proofErr w:type="spellStart"/>
      <w:r w:rsidRPr="00724EB6">
        <w:t>women’s</w:t>
      </w:r>
      <w:proofErr w:type="spellEnd"/>
      <w:r w:rsidRPr="00724EB6">
        <w:t xml:space="preserve"> </w:t>
      </w:r>
      <w:proofErr w:type="spellStart"/>
      <w:r w:rsidRPr="00724EB6">
        <w:t>rights</w:t>
      </w:r>
      <w:proofErr w:type="spellEnd"/>
      <w:r w:rsidRPr="00724EB6">
        <w:t xml:space="preserve"> in </w:t>
      </w:r>
      <w:proofErr w:type="spellStart"/>
      <w:r w:rsidRPr="00724EB6">
        <w:t>the</w:t>
      </w:r>
      <w:proofErr w:type="spellEnd"/>
      <w:r w:rsidRPr="00724EB6">
        <w:t xml:space="preserve"> </w:t>
      </w:r>
      <w:proofErr w:type="spellStart"/>
      <w:r w:rsidRPr="00724EB6">
        <w:t>context</w:t>
      </w:r>
      <w:proofErr w:type="spellEnd"/>
      <w:r w:rsidRPr="00724EB6">
        <w:t xml:space="preserve"> of </w:t>
      </w:r>
      <w:proofErr w:type="spellStart"/>
      <w:r w:rsidRPr="00724EB6">
        <w:t>the</w:t>
      </w:r>
      <w:proofErr w:type="spellEnd"/>
      <w:r w:rsidRPr="00724EB6">
        <w:t xml:space="preserve"> </w:t>
      </w:r>
      <w:proofErr w:type="spellStart"/>
      <w:r w:rsidRPr="00724EB6">
        <w:t>law</w:t>
      </w:r>
      <w:proofErr w:type="spellEnd"/>
      <w:r w:rsidRPr="00724EB6">
        <w:t xml:space="preserve"> of </w:t>
      </w:r>
      <w:proofErr w:type="spellStart"/>
      <w:r w:rsidRPr="00724EB6">
        <w:t>marriage</w:t>
      </w:r>
      <w:proofErr w:type="spellEnd"/>
      <w:r w:rsidRPr="00724EB6">
        <w:t xml:space="preserve"> </w:t>
      </w:r>
      <w:proofErr w:type="spellStart"/>
      <w:r w:rsidRPr="00724EB6">
        <w:t>through</w:t>
      </w:r>
      <w:proofErr w:type="spellEnd"/>
      <w:r w:rsidRPr="00724EB6">
        <w:t xml:space="preserve"> a </w:t>
      </w:r>
      <w:proofErr w:type="spellStart"/>
      <w:r w:rsidRPr="00724EB6">
        <w:t>comparative</w:t>
      </w:r>
      <w:proofErr w:type="spellEnd"/>
      <w:r w:rsidRPr="00724EB6">
        <w:t xml:space="preserve"> </w:t>
      </w:r>
      <w:proofErr w:type="spellStart"/>
      <w:r w:rsidRPr="00724EB6">
        <w:t>analysis</w:t>
      </w:r>
      <w:proofErr w:type="spellEnd"/>
      <w:r w:rsidRPr="00724EB6">
        <w:t xml:space="preserve"> of </w:t>
      </w:r>
      <w:proofErr w:type="spellStart"/>
      <w:r w:rsidRPr="00724EB6">
        <w:t>Islamic</w:t>
      </w:r>
      <w:proofErr w:type="spellEnd"/>
      <w:r w:rsidRPr="00724EB6">
        <w:t xml:space="preserve"> </w:t>
      </w:r>
      <w:proofErr w:type="spellStart"/>
      <w:r w:rsidRPr="00724EB6">
        <w:t>family</w:t>
      </w:r>
      <w:proofErr w:type="spellEnd"/>
      <w:r w:rsidRPr="00724EB6">
        <w:t xml:space="preserve"> </w:t>
      </w:r>
      <w:proofErr w:type="spellStart"/>
      <w:r w:rsidRPr="00724EB6">
        <w:t>law</w:t>
      </w:r>
      <w:proofErr w:type="spellEnd"/>
      <w:r w:rsidRPr="00724EB6">
        <w:t xml:space="preserve"> </w:t>
      </w:r>
      <w:proofErr w:type="spellStart"/>
      <w:r w:rsidRPr="00724EB6">
        <w:t>and</w:t>
      </w:r>
      <w:proofErr w:type="spellEnd"/>
      <w:r w:rsidRPr="00724EB6">
        <w:t xml:space="preserve"> </w:t>
      </w:r>
      <w:proofErr w:type="spellStart"/>
      <w:r w:rsidRPr="00724EB6">
        <w:t>the</w:t>
      </w:r>
      <w:proofErr w:type="spellEnd"/>
      <w:r w:rsidRPr="00724EB6">
        <w:t xml:space="preserve"> </w:t>
      </w:r>
      <w:proofErr w:type="spellStart"/>
      <w:r w:rsidRPr="00724EB6">
        <w:t>marital</w:t>
      </w:r>
      <w:proofErr w:type="spellEnd"/>
      <w:r w:rsidRPr="00724EB6">
        <w:t xml:space="preserve"> </w:t>
      </w:r>
      <w:proofErr w:type="spellStart"/>
      <w:r w:rsidRPr="00724EB6">
        <w:t>practices</w:t>
      </w:r>
      <w:proofErr w:type="spellEnd"/>
      <w:r w:rsidRPr="00724EB6">
        <w:t xml:space="preserve"> </w:t>
      </w:r>
      <w:proofErr w:type="spellStart"/>
      <w:r w:rsidRPr="00724EB6">
        <w:t>and</w:t>
      </w:r>
      <w:proofErr w:type="spellEnd"/>
      <w:r w:rsidRPr="00724EB6">
        <w:t xml:space="preserve"> legal </w:t>
      </w:r>
      <w:proofErr w:type="spellStart"/>
      <w:r w:rsidRPr="00724EB6">
        <w:t>traditions</w:t>
      </w:r>
      <w:proofErr w:type="spellEnd"/>
      <w:r w:rsidRPr="00724EB6">
        <w:t xml:space="preserve"> of </w:t>
      </w:r>
      <w:proofErr w:type="spellStart"/>
      <w:r w:rsidRPr="00724EB6">
        <w:t>pre-Islamic</w:t>
      </w:r>
      <w:proofErr w:type="spellEnd"/>
      <w:r w:rsidRPr="00724EB6">
        <w:t xml:space="preserve"> </w:t>
      </w:r>
      <w:proofErr w:type="spellStart"/>
      <w:r w:rsidRPr="00724EB6">
        <w:t>societies</w:t>
      </w:r>
      <w:proofErr w:type="spellEnd"/>
      <w:r w:rsidRPr="00724EB6">
        <w:t xml:space="preserve">. </w:t>
      </w:r>
      <w:proofErr w:type="spellStart"/>
      <w:r w:rsidRPr="00724EB6">
        <w:t>It</w:t>
      </w:r>
      <w:proofErr w:type="spellEnd"/>
      <w:r w:rsidRPr="00724EB6">
        <w:t xml:space="preserve"> </w:t>
      </w:r>
      <w:proofErr w:type="spellStart"/>
      <w:r w:rsidRPr="00724EB6">
        <w:t>identifies</w:t>
      </w:r>
      <w:proofErr w:type="spellEnd"/>
      <w:r w:rsidRPr="00724EB6">
        <w:t xml:space="preserve"> </w:t>
      </w:r>
      <w:proofErr w:type="spellStart"/>
      <w:r w:rsidRPr="00724EB6">
        <w:t>women’s</w:t>
      </w:r>
      <w:proofErr w:type="spellEnd"/>
      <w:r w:rsidRPr="00724EB6">
        <w:t xml:space="preserve"> </w:t>
      </w:r>
      <w:proofErr w:type="spellStart"/>
      <w:r w:rsidRPr="00724EB6">
        <w:t>status</w:t>
      </w:r>
      <w:proofErr w:type="spellEnd"/>
      <w:r w:rsidRPr="00724EB6">
        <w:t xml:space="preserve"> </w:t>
      </w:r>
      <w:proofErr w:type="spellStart"/>
      <w:r w:rsidRPr="00724EB6">
        <w:t>within</w:t>
      </w:r>
      <w:proofErr w:type="spellEnd"/>
      <w:r w:rsidRPr="00724EB6">
        <w:t xml:space="preserve"> </w:t>
      </w:r>
      <w:proofErr w:type="spellStart"/>
      <w:r w:rsidRPr="00724EB6">
        <w:t>marriage</w:t>
      </w:r>
      <w:proofErr w:type="spellEnd"/>
      <w:r w:rsidRPr="00724EB6">
        <w:t xml:space="preserve">, </w:t>
      </w:r>
      <w:proofErr w:type="spellStart"/>
      <w:r w:rsidRPr="00724EB6">
        <w:t>together</w:t>
      </w:r>
      <w:proofErr w:type="spellEnd"/>
      <w:r w:rsidRPr="00724EB6">
        <w:t xml:space="preserve"> </w:t>
      </w:r>
      <w:proofErr w:type="spellStart"/>
      <w:r w:rsidRPr="00724EB6">
        <w:t>with</w:t>
      </w:r>
      <w:proofErr w:type="spellEnd"/>
      <w:r w:rsidRPr="00724EB6">
        <w:t xml:space="preserve"> </w:t>
      </w:r>
      <w:proofErr w:type="spellStart"/>
      <w:r w:rsidRPr="00724EB6">
        <w:t>their</w:t>
      </w:r>
      <w:proofErr w:type="spellEnd"/>
      <w:r w:rsidRPr="00724EB6">
        <w:t xml:space="preserve"> </w:t>
      </w:r>
      <w:proofErr w:type="spellStart"/>
      <w:r w:rsidRPr="00724EB6">
        <w:t>rights</w:t>
      </w:r>
      <w:proofErr w:type="spellEnd"/>
      <w:r w:rsidRPr="00724EB6">
        <w:t xml:space="preserve"> </w:t>
      </w:r>
      <w:proofErr w:type="spellStart"/>
      <w:r w:rsidRPr="00724EB6">
        <w:t>and</w:t>
      </w:r>
      <w:proofErr w:type="spellEnd"/>
      <w:r w:rsidRPr="00724EB6">
        <w:t xml:space="preserve"> </w:t>
      </w:r>
      <w:proofErr w:type="spellStart"/>
      <w:r w:rsidRPr="00724EB6">
        <w:t>powers</w:t>
      </w:r>
      <w:proofErr w:type="spellEnd"/>
      <w:r w:rsidRPr="00724EB6">
        <w:t xml:space="preserve"> </w:t>
      </w:r>
      <w:proofErr w:type="spellStart"/>
      <w:r w:rsidRPr="00724EB6">
        <w:t>regarding</w:t>
      </w:r>
      <w:proofErr w:type="spellEnd"/>
      <w:r w:rsidRPr="00724EB6">
        <w:t xml:space="preserve"> </w:t>
      </w:r>
      <w:proofErr w:type="spellStart"/>
      <w:r w:rsidRPr="00724EB6">
        <w:t>dower</w:t>
      </w:r>
      <w:proofErr w:type="spellEnd"/>
      <w:r w:rsidRPr="00724EB6">
        <w:t xml:space="preserve"> (</w:t>
      </w:r>
      <w:proofErr w:type="spellStart"/>
      <w:r w:rsidRPr="00724EB6">
        <w:t>mahr</w:t>
      </w:r>
      <w:proofErr w:type="spellEnd"/>
      <w:r w:rsidRPr="00724EB6">
        <w:t xml:space="preserve">), </w:t>
      </w:r>
      <w:proofErr w:type="spellStart"/>
      <w:r w:rsidRPr="00724EB6">
        <w:t>maintenance</w:t>
      </w:r>
      <w:proofErr w:type="spellEnd"/>
      <w:r w:rsidRPr="00724EB6">
        <w:t xml:space="preserve"> (</w:t>
      </w:r>
      <w:proofErr w:type="spellStart"/>
      <w:r w:rsidRPr="00724EB6">
        <w:t>nafaqa</w:t>
      </w:r>
      <w:proofErr w:type="spellEnd"/>
      <w:r w:rsidRPr="00724EB6">
        <w:t xml:space="preserve">), </w:t>
      </w:r>
      <w:proofErr w:type="spellStart"/>
      <w:r w:rsidRPr="00724EB6">
        <w:t>guardianship</w:t>
      </w:r>
      <w:proofErr w:type="spellEnd"/>
      <w:r w:rsidRPr="00724EB6">
        <w:t xml:space="preserve"> </w:t>
      </w:r>
      <w:proofErr w:type="spellStart"/>
      <w:r w:rsidRPr="00724EB6">
        <w:t>and</w:t>
      </w:r>
      <w:proofErr w:type="spellEnd"/>
      <w:r w:rsidRPr="00724EB6">
        <w:t xml:space="preserve"> </w:t>
      </w:r>
      <w:proofErr w:type="spellStart"/>
      <w:r w:rsidRPr="00724EB6">
        <w:t>divorce</w:t>
      </w:r>
      <w:proofErr w:type="spellEnd"/>
      <w:r w:rsidRPr="00724EB6">
        <w:t xml:space="preserve"> in </w:t>
      </w:r>
      <w:proofErr w:type="spellStart"/>
      <w:r w:rsidRPr="00724EB6">
        <w:t>the</w:t>
      </w:r>
      <w:proofErr w:type="spellEnd"/>
      <w:r>
        <w:t xml:space="preserve"> </w:t>
      </w:r>
      <w:proofErr w:type="spellStart"/>
      <w:r>
        <w:t>Jewish</w:t>
      </w:r>
      <w:proofErr w:type="spellEnd"/>
      <w:r>
        <w:t>,</w:t>
      </w:r>
      <w:r w:rsidRPr="00724EB6">
        <w:t xml:space="preserve"> </w:t>
      </w:r>
      <w:proofErr w:type="spellStart"/>
      <w:r w:rsidRPr="00724EB6">
        <w:t>Jahiliyya</w:t>
      </w:r>
      <w:proofErr w:type="spellEnd"/>
      <w:r w:rsidRPr="00724EB6">
        <w:t xml:space="preserve"> </w:t>
      </w:r>
      <w:proofErr w:type="spellStart"/>
      <w:r w:rsidRPr="00724EB6">
        <w:t>and</w:t>
      </w:r>
      <w:proofErr w:type="spellEnd"/>
      <w:r w:rsidRPr="00724EB6">
        <w:t xml:space="preserve"> </w:t>
      </w:r>
      <w:proofErr w:type="spellStart"/>
      <w:r w:rsidRPr="00724EB6">
        <w:t>other</w:t>
      </w:r>
      <w:proofErr w:type="spellEnd"/>
      <w:r w:rsidRPr="00724EB6">
        <w:t xml:space="preserve"> </w:t>
      </w:r>
      <w:proofErr w:type="spellStart"/>
      <w:r w:rsidRPr="00724EB6">
        <w:t>ancient</w:t>
      </w:r>
      <w:proofErr w:type="spellEnd"/>
      <w:r w:rsidRPr="00724EB6">
        <w:t xml:space="preserve"> </w:t>
      </w:r>
      <w:proofErr w:type="spellStart"/>
      <w:r w:rsidRPr="00724EB6">
        <w:t>societies</w:t>
      </w:r>
      <w:proofErr w:type="spellEnd"/>
      <w:r w:rsidRPr="00724EB6">
        <w:t xml:space="preserve">, </w:t>
      </w:r>
      <w:proofErr w:type="spellStart"/>
      <w:r w:rsidRPr="00724EB6">
        <w:t>and</w:t>
      </w:r>
      <w:proofErr w:type="spellEnd"/>
      <w:r w:rsidRPr="00724EB6">
        <w:t xml:space="preserve"> </w:t>
      </w:r>
      <w:proofErr w:type="spellStart"/>
      <w:r w:rsidRPr="00724EB6">
        <w:t>analyses</w:t>
      </w:r>
      <w:proofErr w:type="spellEnd"/>
      <w:r w:rsidRPr="00724EB6">
        <w:t xml:space="preserve"> how </w:t>
      </w:r>
      <w:proofErr w:type="spellStart"/>
      <w:r w:rsidRPr="00724EB6">
        <w:t>these</w:t>
      </w:r>
      <w:proofErr w:type="spellEnd"/>
      <w:r w:rsidRPr="00724EB6">
        <w:t xml:space="preserve"> </w:t>
      </w:r>
      <w:proofErr w:type="spellStart"/>
      <w:r w:rsidRPr="00724EB6">
        <w:t>structures</w:t>
      </w:r>
      <w:proofErr w:type="spellEnd"/>
      <w:r w:rsidRPr="00724EB6">
        <w:t xml:space="preserve"> </w:t>
      </w:r>
      <w:proofErr w:type="spellStart"/>
      <w:r w:rsidRPr="00724EB6">
        <w:t>were</w:t>
      </w:r>
      <w:proofErr w:type="spellEnd"/>
      <w:r w:rsidRPr="00724EB6">
        <w:t xml:space="preserve"> </w:t>
      </w:r>
      <w:proofErr w:type="spellStart"/>
      <w:r w:rsidRPr="00724EB6">
        <w:t>transformed</w:t>
      </w:r>
      <w:proofErr w:type="spellEnd"/>
      <w:r w:rsidRPr="00724EB6">
        <w:t xml:space="preserve"> </w:t>
      </w:r>
      <w:proofErr w:type="spellStart"/>
      <w:r w:rsidRPr="00724EB6">
        <w:t>and</w:t>
      </w:r>
      <w:proofErr w:type="spellEnd"/>
      <w:r w:rsidRPr="00724EB6">
        <w:t xml:space="preserve"> </w:t>
      </w:r>
      <w:proofErr w:type="spellStart"/>
      <w:r w:rsidRPr="00724EB6">
        <w:t>reconfigured</w:t>
      </w:r>
      <w:proofErr w:type="spellEnd"/>
      <w:r w:rsidRPr="00724EB6">
        <w:t xml:space="preserve"> </w:t>
      </w:r>
      <w:proofErr w:type="spellStart"/>
      <w:r w:rsidRPr="00724EB6">
        <w:t>by</w:t>
      </w:r>
      <w:proofErr w:type="spellEnd"/>
      <w:r w:rsidRPr="00724EB6">
        <w:t xml:space="preserve"> </w:t>
      </w:r>
      <w:proofErr w:type="spellStart"/>
      <w:r w:rsidRPr="00724EB6">
        <w:t>the</w:t>
      </w:r>
      <w:proofErr w:type="spellEnd"/>
      <w:r w:rsidRPr="00724EB6">
        <w:t xml:space="preserve"> </w:t>
      </w:r>
      <w:proofErr w:type="spellStart"/>
      <w:r w:rsidRPr="00724EB6">
        <w:t>Qur’an</w:t>
      </w:r>
      <w:proofErr w:type="spellEnd"/>
      <w:r w:rsidRPr="00724EB6">
        <w:t xml:space="preserve">, </w:t>
      </w:r>
      <w:proofErr w:type="spellStart"/>
      <w:r w:rsidRPr="00724EB6">
        <w:t>the</w:t>
      </w:r>
      <w:proofErr w:type="spellEnd"/>
      <w:r w:rsidRPr="00724EB6">
        <w:t xml:space="preserve"> </w:t>
      </w:r>
      <w:proofErr w:type="spellStart"/>
      <w:r w:rsidRPr="00724EB6">
        <w:t>Sunna</w:t>
      </w:r>
      <w:proofErr w:type="spellEnd"/>
      <w:r w:rsidRPr="00724EB6">
        <w:t xml:space="preserve"> </w:t>
      </w:r>
      <w:proofErr w:type="spellStart"/>
      <w:r w:rsidRPr="00724EB6">
        <w:t>and</w:t>
      </w:r>
      <w:proofErr w:type="spellEnd"/>
      <w:r w:rsidRPr="00724EB6">
        <w:t xml:space="preserve"> </w:t>
      </w:r>
      <w:proofErr w:type="spellStart"/>
      <w:r w:rsidRPr="00724EB6">
        <w:t>the</w:t>
      </w:r>
      <w:proofErr w:type="spellEnd"/>
      <w:r w:rsidRPr="00724EB6">
        <w:t xml:space="preserve"> </w:t>
      </w:r>
      <w:proofErr w:type="spellStart"/>
      <w:r w:rsidRPr="00724EB6">
        <w:t>rules</w:t>
      </w:r>
      <w:proofErr w:type="spellEnd"/>
      <w:r w:rsidRPr="00724EB6">
        <w:t xml:space="preserve"> of </w:t>
      </w:r>
      <w:proofErr w:type="spellStart"/>
      <w:r w:rsidRPr="00724EB6">
        <w:t>marriage</w:t>
      </w:r>
      <w:proofErr w:type="spellEnd"/>
      <w:r w:rsidRPr="00724EB6">
        <w:t xml:space="preserve"> </w:t>
      </w:r>
      <w:proofErr w:type="spellStart"/>
      <w:r w:rsidRPr="00724EB6">
        <w:t>developed</w:t>
      </w:r>
      <w:proofErr w:type="spellEnd"/>
      <w:r w:rsidRPr="00724EB6">
        <w:t xml:space="preserve"> in </w:t>
      </w:r>
      <w:proofErr w:type="spellStart"/>
      <w:r w:rsidRPr="00724EB6">
        <w:t>classical</w:t>
      </w:r>
      <w:proofErr w:type="spellEnd"/>
      <w:r w:rsidRPr="00724EB6">
        <w:t xml:space="preserve"> </w:t>
      </w:r>
      <w:proofErr w:type="spellStart"/>
      <w:r w:rsidRPr="00724EB6">
        <w:t>Islamic</w:t>
      </w:r>
      <w:proofErr w:type="spellEnd"/>
      <w:r w:rsidRPr="00724EB6">
        <w:t xml:space="preserve"> </w:t>
      </w:r>
      <w:proofErr w:type="spellStart"/>
      <w:r w:rsidRPr="00724EB6">
        <w:t>jurisprudence</w:t>
      </w:r>
      <w:proofErr w:type="spellEnd"/>
      <w:r w:rsidRPr="00724EB6">
        <w:t xml:space="preserve">. </w:t>
      </w:r>
      <w:proofErr w:type="spellStart"/>
      <w:r w:rsidRPr="00724EB6">
        <w:t>The</w:t>
      </w:r>
      <w:proofErr w:type="spellEnd"/>
      <w:r w:rsidRPr="00724EB6">
        <w:t xml:space="preserve"> </w:t>
      </w:r>
      <w:proofErr w:type="spellStart"/>
      <w:r w:rsidRPr="00724EB6">
        <w:t>study</w:t>
      </w:r>
      <w:proofErr w:type="spellEnd"/>
      <w:r w:rsidRPr="00724EB6">
        <w:t xml:space="preserve"> </w:t>
      </w:r>
      <w:proofErr w:type="spellStart"/>
      <w:r w:rsidRPr="00724EB6">
        <w:t>argues</w:t>
      </w:r>
      <w:proofErr w:type="spellEnd"/>
      <w:r w:rsidRPr="00724EB6">
        <w:t xml:space="preserve"> </w:t>
      </w:r>
      <w:proofErr w:type="spellStart"/>
      <w:r w:rsidRPr="00724EB6">
        <w:t>that</w:t>
      </w:r>
      <w:proofErr w:type="spellEnd"/>
      <w:r w:rsidRPr="00724EB6">
        <w:t xml:space="preserve">, </w:t>
      </w:r>
      <w:proofErr w:type="spellStart"/>
      <w:r w:rsidRPr="00724EB6">
        <w:t>while</w:t>
      </w:r>
      <w:proofErr w:type="spellEnd"/>
      <w:r w:rsidRPr="00724EB6">
        <w:t xml:space="preserve"> </w:t>
      </w:r>
      <w:proofErr w:type="spellStart"/>
      <w:r w:rsidRPr="00724EB6">
        <w:t>Islamic</w:t>
      </w:r>
      <w:proofErr w:type="spellEnd"/>
      <w:r w:rsidRPr="00724EB6">
        <w:t xml:space="preserve"> </w:t>
      </w:r>
      <w:proofErr w:type="spellStart"/>
      <w:r w:rsidRPr="00724EB6">
        <w:t>law</w:t>
      </w:r>
      <w:proofErr w:type="spellEnd"/>
      <w:r w:rsidRPr="00724EB6">
        <w:t xml:space="preserve"> </w:t>
      </w:r>
      <w:proofErr w:type="spellStart"/>
      <w:r w:rsidRPr="00724EB6">
        <w:t>restricted</w:t>
      </w:r>
      <w:proofErr w:type="spellEnd"/>
      <w:r w:rsidRPr="00724EB6">
        <w:t xml:space="preserve"> </w:t>
      </w:r>
      <w:proofErr w:type="spellStart"/>
      <w:r w:rsidRPr="00724EB6">
        <w:t>and</w:t>
      </w:r>
      <w:proofErr w:type="spellEnd"/>
      <w:r w:rsidRPr="00724EB6">
        <w:t xml:space="preserve"> </w:t>
      </w:r>
      <w:proofErr w:type="spellStart"/>
      <w:r w:rsidRPr="00724EB6">
        <w:t>reformed</w:t>
      </w:r>
      <w:proofErr w:type="spellEnd"/>
      <w:r w:rsidRPr="00724EB6">
        <w:t xml:space="preserve"> </w:t>
      </w:r>
      <w:proofErr w:type="spellStart"/>
      <w:r w:rsidRPr="00724EB6">
        <w:t>many</w:t>
      </w:r>
      <w:proofErr w:type="spellEnd"/>
      <w:r w:rsidRPr="00724EB6">
        <w:t xml:space="preserve"> </w:t>
      </w:r>
      <w:proofErr w:type="spellStart"/>
      <w:r w:rsidRPr="00724EB6">
        <w:t>pre-Islamic</w:t>
      </w:r>
      <w:proofErr w:type="spellEnd"/>
      <w:r w:rsidRPr="00724EB6">
        <w:t xml:space="preserve"> </w:t>
      </w:r>
      <w:proofErr w:type="spellStart"/>
      <w:r w:rsidRPr="00724EB6">
        <w:t>practices</w:t>
      </w:r>
      <w:proofErr w:type="spellEnd"/>
      <w:r w:rsidRPr="00724EB6">
        <w:t xml:space="preserve"> </w:t>
      </w:r>
      <w:proofErr w:type="spellStart"/>
      <w:r w:rsidRPr="00724EB6">
        <w:t>detrimental</w:t>
      </w:r>
      <w:proofErr w:type="spellEnd"/>
      <w:r w:rsidRPr="00724EB6">
        <w:t xml:space="preserve"> </w:t>
      </w:r>
      <w:proofErr w:type="spellStart"/>
      <w:r w:rsidRPr="00724EB6">
        <w:t>to</w:t>
      </w:r>
      <w:proofErr w:type="spellEnd"/>
      <w:r w:rsidRPr="00724EB6">
        <w:t xml:space="preserve"> </w:t>
      </w:r>
      <w:proofErr w:type="spellStart"/>
      <w:r w:rsidRPr="00724EB6">
        <w:t>women</w:t>
      </w:r>
      <w:proofErr w:type="spellEnd"/>
      <w:r w:rsidRPr="00724EB6">
        <w:t xml:space="preserve">, it </w:t>
      </w:r>
      <w:proofErr w:type="spellStart"/>
      <w:r w:rsidRPr="00724EB6">
        <w:t>also</w:t>
      </w:r>
      <w:proofErr w:type="spellEnd"/>
      <w:r w:rsidRPr="00724EB6">
        <w:t xml:space="preserve"> </w:t>
      </w:r>
      <w:proofErr w:type="spellStart"/>
      <w:r w:rsidRPr="00724EB6">
        <w:t>preserved</w:t>
      </w:r>
      <w:proofErr w:type="spellEnd"/>
      <w:r w:rsidRPr="00724EB6">
        <w:t xml:space="preserve"> </w:t>
      </w:r>
      <w:proofErr w:type="spellStart"/>
      <w:r w:rsidRPr="00724EB6">
        <w:t>certain</w:t>
      </w:r>
      <w:proofErr w:type="spellEnd"/>
      <w:r w:rsidRPr="00724EB6">
        <w:t xml:space="preserve"> </w:t>
      </w:r>
      <w:proofErr w:type="spellStart"/>
      <w:r w:rsidRPr="00724EB6">
        <w:t>patriarchal</w:t>
      </w:r>
      <w:proofErr w:type="spellEnd"/>
      <w:r w:rsidRPr="00724EB6">
        <w:t xml:space="preserve"> </w:t>
      </w:r>
      <w:proofErr w:type="spellStart"/>
      <w:r w:rsidRPr="00724EB6">
        <w:t>patterns</w:t>
      </w:r>
      <w:proofErr w:type="spellEnd"/>
      <w:r w:rsidRPr="00724EB6">
        <w:t xml:space="preserve"> on </w:t>
      </w:r>
      <w:proofErr w:type="spellStart"/>
      <w:r w:rsidRPr="00724EB6">
        <w:t>the</w:t>
      </w:r>
      <w:proofErr w:type="spellEnd"/>
      <w:r w:rsidRPr="00724EB6">
        <w:t xml:space="preserve"> </w:t>
      </w:r>
      <w:proofErr w:type="spellStart"/>
      <w:r w:rsidRPr="00724EB6">
        <w:t>basis</w:t>
      </w:r>
      <w:proofErr w:type="spellEnd"/>
      <w:r w:rsidRPr="00724EB6">
        <w:t xml:space="preserve"> of </w:t>
      </w:r>
      <w:proofErr w:type="spellStart"/>
      <w:r w:rsidRPr="00724EB6">
        <w:t>responsibility</w:t>
      </w:r>
      <w:proofErr w:type="spellEnd"/>
      <w:r w:rsidRPr="00724EB6">
        <w:t xml:space="preserve"> </w:t>
      </w:r>
      <w:proofErr w:type="spellStart"/>
      <w:r w:rsidRPr="00724EB6">
        <w:t>and</w:t>
      </w:r>
      <w:proofErr w:type="spellEnd"/>
      <w:r w:rsidRPr="00724EB6">
        <w:t xml:space="preserve"> </w:t>
      </w:r>
      <w:proofErr w:type="spellStart"/>
      <w:r w:rsidRPr="00724EB6">
        <w:t>justice</w:t>
      </w:r>
      <w:proofErr w:type="spellEnd"/>
      <w:r w:rsidRPr="00724EB6">
        <w:t xml:space="preserve">, </w:t>
      </w:r>
      <w:proofErr w:type="spellStart"/>
      <w:r w:rsidRPr="00724EB6">
        <w:lastRenderedPageBreak/>
        <w:t>and</w:t>
      </w:r>
      <w:proofErr w:type="spellEnd"/>
      <w:r w:rsidRPr="00724EB6">
        <w:t xml:space="preserve"> it </w:t>
      </w:r>
      <w:proofErr w:type="spellStart"/>
      <w:r w:rsidRPr="00724EB6">
        <w:t>underscores</w:t>
      </w:r>
      <w:proofErr w:type="spellEnd"/>
      <w:r w:rsidRPr="00724EB6">
        <w:t xml:space="preserve"> </w:t>
      </w:r>
      <w:proofErr w:type="spellStart"/>
      <w:r w:rsidRPr="00724EB6">
        <w:t>the</w:t>
      </w:r>
      <w:proofErr w:type="spellEnd"/>
      <w:r w:rsidRPr="00724EB6">
        <w:t xml:space="preserve"> </w:t>
      </w:r>
      <w:proofErr w:type="spellStart"/>
      <w:r w:rsidRPr="00724EB6">
        <w:t>importance</w:t>
      </w:r>
      <w:proofErr w:type="spellEnd"/>
      <w:r w:rsidRPr="00724EB6">
        <w:t xml:space="preserve"> of </w:t>
      </w:r>
      <w:proofErr w:type="spellStart"/>
      <w:r w:rsidRPr="00724EB6">
        <w:t>making</w:t>
      </w:r>
      <w:proofErr w:type="spellEnd"/>
      <w:r w:rsidRPr="00724EB6">
        <w:t xml:space="preserve"> </w:t>
      </w:r>
      <w:proofErr w:type="spellStart"/>
      <w:r w:rsidRPr="00724EB6">
        <w:t>visible</w:t>
      </w:r>
      <w:proofErr w:type="spellEnd"/>
      <w:r w:rsidRPr="00724EB6">
        <w:t xml:space="preserve">, in </w:t>
      </w:r>
      <w:proofErr w:type="spellStart"/>
      <w:r w:rsidRPr="00724EB6">
        <w:t>contemporary</w:t>
      </w:r>
      <w:proofErr w:type="spellEnd"/>
      <w:r w:rsidRPr="00724EB6">
        <w:t xml:space="preserve"> </w:t>
      </w:r>
      <w:proofErr w:type="spellStart"/>
      <w:r w:rsidRPr="00724EB6">
        <w:t>debates</w:t>
      </w:r>
      <w:proofErr w:type="spellEnd"/>
      <w:r w:rsidRPr="00724EB6">
        <w:t xml:space="preserve"> on </w:t>
      </w:r>
      <w:proofErr w:type="spellStart"/>
      <w:r w:rsidRPr="00724EB6">
        <w:t>women’s</w:t>
      </w:r>
      <w:proofErr w:type="spellEnd"/>
      <w:r w:rsidRPr="00724EB6">
        <w:t xml:space="preserve"> </w:t>
      </w:r>
      <w:proofErr w:type="spellStart"/>
      <w:r w:rsidRPr="00724EB6">
        <w:t>rights</w:t>
      </w:r>
      <w:proofErr w:type="spellEnd"/>
      <w:r w:rsidRPr="00724EB6">
        <w:t xml:space="preserve">, </w:t>
      </w:r>
      <w:proofErr w:type="spellStart"/>
      <w:r w:rsidRPr="00724EB6">
        <w:t>the</w:t>
      </w:r>
      <w:proofErr w:type="spellEnd"/>
      <w:r w:rsidRPr="00724EB6">
        <w:t xml:space="preserve"> </w:t>
      </w:r>
      <w:proofErr w:type="spellStart"/>
      <w:r w:rsidRPr="00724EB6">
        <w:t>lines</w:t>
      </w:r>
      <w:proofErr w:type="spellEnd"/>
      <w:r w:rsidRPr="00724EB6">
        <w:t xml:space="preserve"> of </w:t>
      </w:r>
      <w:proofErr w:type="spellStart"/>
      <w:r w:rsidRPr="00724EB6">
        <w:t>tension</w:t>
      </w:r>
      <w:proofErr w:type="spellEnd"/>
      <w:r w:rsidRPr="00724EB6">
        <w:t xml:space="preserve"> </w:t>
      </w:r>
      <w:proofErr w:type="spellStart"/>
      <w:r w:rsidRPr="00724EB6">
        <w:t>between</w:t>
      </w:r>
      <w:proofErr w:type="spellEnd"/>
      <w:r w:rsidRPr="00724EB6">
        <w:t xml:space="preserve"> </w:t>
      </w:r>
      <w:proofErr w:type="spellStart"/>
      <w:r w:rsidRPr="00724EB6">
        <w:t>normative</w:t>
      </w:r>
      <w:proofErr w:type="spellEnd"/>
      <w:r w:rsidRPr="00724EB6">
        <w:t xml:space="preserve"> </w:t>
      </w:r>
      <w:proofErr w:type="spellStart"/>
      <w:r w:rsidRPr="00724EB6">
        <w:t>texts</w:t>
      </w:r>
      <w:proofErr w:type="spellEnd"/>
      <w:r w:rsidRPr="00724EB6">
        <w:t xml:space="preserve">, legal </w:t>
      </w:r>
      <w:proofErr w:type="spellStart"/>
      <w:r w:rsidRPr="00724EB6">
        <w:t>doctrine</w:t>
      </w:r>
      <w:proofErr w:type="spellEnd"/>
      <w:r w:rsidRPr="00724EB6">
        <w:t xml:space="preserve"> </w:t>
      </w:r>
      <w:proofErr w:type="spellStart"/>
      <w:r w:rsidRPr="00724EB6">
        <w:t>and</w:t>
      </w:r>
      <w:proofErr w:type="spellEnd"/>
      <w:r w:rsidRPr="00724EB6">
        <w:t xml:space="preserve"> </w:t>
      </w:r>
      <w:proofErr w:type="spellStart"/>
      <w:r w:rsidRPr="00724EB6">
        <w:t>social</w:t>
      </w:r>
      <w:proofErr w:type="spellEnd"/>
      <w:r w:rsidRPr="00724EB6">
        <w:t xml:space="preserve"> </w:t>
      </w:r>
      <w:proofErr w:type="spellStart"/>
      <w:r w:rsidRPr="00724EB6">
        <w:t>practice</w:t>
      </w:r>
      <w:proofErr w:type="spellEnd"/>
      <w:r w:rsidRPr="00724EB6">
        <w:t>.</w:t>
      </w:r>
    </w:p>
    <w:p w14:paraId="5F83B0D6" w14:textId="77777777" w:rsidR="00B8798D" w:rsidRDefault="00B8798D" w:rsidP="00B8798D">
      <w:pPr>
        <w:jc w:val="both"/>
      </w:pPr>
      <w:proofErr w:type="spellStart"/>
      <w:r>
        <w:t>Keywords</w:t>
      </w:r>
      <w:proofErr w:type="spellEnd"/>
      <w:r>
        <w:t xml:space="preserve">: </w:t>
      </w:r>
      <w:proofErr w:type="spellStart"/>
      <w:r>
        <w:t>Woman</w:t>
      </w:r>
      <w:proofErr w:type="spellEnd"/>
      <w:r>
        <w:t xml:space="preserve">, </w:t>
      </w:r>
      <w:proofErr w:type="spellStart"/>
      <w:r>
        <w:t>Womens</w:t>
      </w:r>
      <w:proofErr w:type="spellEnd"/>
      <w:r>
        <w:t xml:space="preserve"> </w:t>
      </w:r>
      <w:proofErr w:type="spellStart"/>
      <w:r>
        <w:t>rights</w:t>
      </w:r>
      <w:proofErr w:type="spellEnd"/>
      <w:r>
        <w:t xml:space="preserve">, </w:t>
      </w:r>
      <w:proofErr w:type="spellStart"/>
      <w:r>
        <w:t>Marriage</w:t>
      </w:r>
      <w:proofErr w:type="spellEnd"/>
      <w:r>
        <w:t xml:space="preserve">, </w:t>
      </w:r>
      <w:proofErr w:type="spellStart"/>
      <w:r>
        <w:t>Islamic</w:t>
      </w:r>
      <w:proofErr w:type="spellEnd"/>
      <w:r>
        <w:t xml:space="preserve"> </w:t>
      </w:r>
      <w:proofErr w:type="spellStart"/>
      <w:r>
        <w:t>Law</w:t>
      </w:r>
      <w:proofErr w:type="spellEnd"/>
      <w:r>
        <w:t xml:space="preserve">, </w:t>
      </w:r>
      <w:proofErr w:type="spellStart"/>
      <w:r>
        <w:t>Judiasm</w:t>
      </w:r>
      <w:proofErr w:type="spellEnd"/>
      <w:r>
        <w:t xml:space="preserve"> </w:t>
      </w:r>
    </w:p>
    <w:p w14:paraId="5A23E59F" w14:textId="77777777" w:rsidR="00B8798D" w:rsidRDefault="00B8798D" w:rsidP="00B8798D">
      <w:pPr>
        <w:jc w:val="both"/>
      </w:pPr>
    </w:p>
    <w:p w14:paraId="2E2CE379" w14:textId="77777777" w:rsidR="00B8798D" w:rsidRDefault="00B8798D" w:rsidP="00B8798D">
      <w:pPr>
        <w:pStyle w:val="berschrift2"/>
        <w:jc w:val="both"/>
      </w:pPr>
      <w:r>
        <w:t xml:space="preserve">Giriş </w:t>
      </w:r>
    </w:p>
    <w:p w14:paraId="0B1F6337" w14:textId="77777777" w:rsidR="00B8798D" w:rsidRPr="00C5669F" w:rsidRDefault="00B8798D" w:rsidP="00B8798D">
      <w:pPr>
        <w:jc w:val="both"/>
      </w:pPr>
      <w:r w:rsidRPr="00C5669F">
        <w:t xml:space="preserve">Aile </w:t>
      </w:r>
      <w:proofErr w:type="gramStart"/>
      <w:r w:rsidRPr="00C5669F">
        <w:t>kurumu,</w:t>
      </w:r>
      <w:proofErr w:type="gramEnd"/>
      <w:r w:rsidRPr="00C5669F">
        <w:t xml:space="preserve"> hem bireysel kimliğin inşası hem de toplumsal düzenin devamı bakımından tarihsel olarak merkezî bir fonksiyon icra etmiş; evlilik akdi de bu kurumun hukukî çerçevesini belirleyen temel enstrümanlardan biri olmuştur. Evlilik ilişkisi içerisinde kadın ve erkeğin konumu, hak ve yükümlülüklerinin dağılımı ile bu dağılımın meşrulaştırılma </w:t>
      </w:r>
      <w:proofErr w:type="gramStart"/>
      <w:r w:rsidRPr="00C5669F">
        <w:t>biçimleri,</w:t>
      </w:r>
      <w:proofErr w:type="gramEnd"/>
      <w:r w:rsidRPr="00C5669F">
        <w:t xml:space="preserve"> gerek klasik fıkıh literatüründe gerek modern hukuk ve insan hakları tartışmalarında en çok tartışılan başlıklardan biri hâline gelmiştir. Özellikle İslâm aile hukuku çerçevesinde nikâh akdi bağlamında kadına tanınan haklar ile ataerkil kültürel pratikler arasındaki gerilim, buna paralel biçimde Yahudi aile hukuku ve </w:t>
      </w:r>
      <w:proofErr w:type="spellStart"/>
      <w:r w:rsidRPr="00C5669F">
        <w:t>hâlâka</w:t>
      </w:r>
      <w:proofErr w:type="spellEnd"/>
      <w:r w:rsidRPr="00C5669F">
        <w:t xml:space="preserve"> geleneğinde evlilik ve boşanma hükümlerinin kadın üzerindeki etkisi, güncel literatürde pek çok yaklaşımın odağında yer almaktadır.</w:t>
      </w:r>
    </w:p>
    <w:p w14:paraId="4E2DE8AE" w14:textId="77777777" w:rsidR="00B8798D" w:rsidRDefault="00B8798D" w:rsidP="00B8798D">
      <w:pPr>
        <w:jc w:val="both"/>
      </w:pPr>
      <w:r w:rsidRPr="00957916">
        <w:t xml:space="preserve">İslâm öncesi toplumlarda ve Yahudi geleneğinde kadının sosyal ve hukukî statüsüne ilişkin çalışmalar, pek çok coğrafyada kadının önemli ölçüde haksızlığa maruz kaldığını, miras, velâyet ve boşanma alanlarında ciddi hak kayıpları yaşadığını; buna karşılık bazı alanlarda nispi koruma mekanizmalarının da geliştirildiğini ortaya koymaktadır. Nitekim </w:t>
      </w:r>
      <w:proofErr w:type="spellStart"/>
      <w:r w:rsidRPr="00957916">
        <w:t>Câhiliye</w:t>
      </w:r>
      <w:proofErr w:type="spellEnd"/>
      <w:r w:rsidRPr="00957916">
        <w:t xml:space="preserve"> dönemi Arap toplumunda görülen bazı nikâh türlerinde kadının rızasının ikinci plana itilmesi ve kadınların miras konusu yapılabilmesi, Yahudi geleneğinde ise yaratılış ve cennetten düşüş anlatıları bağlamında kadınla ilişkilendirilen olumsuz imgeler, evliliğin “</w:t>
      </w:r>
      <w:proofErr w:type="spellStart"/>
      <w:r w:rsidRPr="00957916">
        <w:t>kinyan</w:t>
      </w:r>
      <w:proofErr w:type="spellEnd"/>
      <w:r w:rsidRPr="00957916">
        <w:t xml:space="preserve">” (iktisap/sahiplenme) kavramı üzerinden erkeğin üstün konumunu pekiştiren bir hukukî ilişki olarak tanımlanması, boşanmada </w:t>
      </w:r>
      <w:proofErr w:type="spellStart"/>
      <w:r w:rsidRPr="00957916">
        <w:t>get</w:t>
      </w:r>
      <w:proofErr w:type="spellEnd"/>
      <w:r w:rsidRPr="00957916">
        <w:t xml:space="preserve"> belgesi ve erkeğin tek taraflı inisiyatifi gibi kurumların kadını ikincil konuma itmesi, bu geleneklerin kadın aleyhine ağır sonuçlar doğurabilen yönlerine işaret etmektedir.</w:t>
      </w:r>
    </w:p>
    <w:p w14:paraId="524441C9" w14:textId="77777777" w:rsidR="00B8798D" w:rsidRDefault="00B8798D" w:rsidP="00B8798D">
      <w:pPr>
        <w:jc w:val="both"/>
      </w:pPr>
      <w:r>
        <w:t xml:space="preserve">Bu </w:t>
      </w:r>
      <w:proofErr w:type="gramStart"/>
      <w:r>
        <w:t xml:space="preserve">çalışma, </w:t>
      </w:r>
      <w:r w:rsidRPr="00FA3964">
        <w:t> nikâh</w:t>
      </w:r>
      <w:proofErr w:type="gramEnd"/>
      <w:r w:rsidRPr="00FA3964">
        <w:t xml:space="preserve"> hukuku bağlamında kadın haklarını İslâm aile hukuku ile İslâm öncesi Arap toplumu ve Yahudi hukuk geleneğinin evlilik ve boşanmaya ilişkin uygulamaları üzerinden mukayeseli olarak incelemeyi hedeflemektedir.</w:t>
      </w:r>
    </w:p>
    <w:p w14:paraId="1F9CAF69" w14:textId="77777777" w:rsidR="00B8798D" w:rsidRDefault="00B8798D" w:rsidP="00B8798D">
      <w:pPr>
        <w:pStyle w:val="berschrift2"/>
      </w:pPr>
      <w:bookmarkStart w:id="0" w:name="_Toc219583127"/>
      <w:r>
        <w:lastRenderedPageBreak/>
        <w:t xml:space="preserve">Diğer Dinlerde </w:t>
      </w:r>
      <w:proofErr w:type="gramStart"/>
      <w:r>
        <w:t>Ve</w:t>
      </w:r>
      <w:proofErr w:type="gramEnd"/>
      <w:r>
        <w:t xml:space="preserve"> İslam Öncesi Kadının Hukuki Konumu</w:t>
      </w:r>
      <w:bookmarkEnd w:id="0"/>
      <w:r>
        <w:t xml:space="preserve"> </w:t>
      </w:r>
      <w:r w:rsidRPr="00823599">
        <w:t xml:space="preserve"> </w:t>
      </w:r>
    </w:p>
    <w:p w14:paraId="59021E7E" w14:textId="77777777" w:rsidR="00B8798D" w:rsidRDefault="00B8798D" w:rsidP="00B8798D">
      <w:pPr>
        <w:jc w:val="both"/>
      </w:pPr>
      <w:r w:rsidRPr="001D5050">
        <w:t>İslam öncesi toplumlarda ve dinlerde kadın, genellikle erkeğin mutlak mülkü veya vesayeti altında konumlandırılmış</w:t>
      </w:r>
      <w:r>
        <w:t>tır.</w:t>
      </w:r>
      <w:r w:rsidRPr="001D5050">
        <w:t xml:space="preserve"> </w:t>
      </w:r>
      <w:r>
        <w:t xml:space="preserve">Türlü </w:t>
      </w:r>
      <w:r w:rsidRPr="001D5050">
        <w:t xml:space="preserve">haklardan yoksun </w:t>
      </w:r>
      <w:r>
        <w:t>bırakılan</w:t>
      </w:r>
      <w:r w:rsidRPr="001D5050">
        <w:t xml:space="preserve"> </w:t>
      </w:r>
      <w:r w:rsidRPr="00823599">
        <w:t>kadın çoğu kez satılabilen meta, kocanın mutlak tasarrufuna tâbi kişi şeklinde konumlandırılmış</w:t>
      </w:r>
      <w:r>
        <w:t xml:space="preserve">tır. İlginçtir ki bazı dinlerde </w:t>
      </w:r>
      <w:r w:rsidRPr="00823599">
        <w:t>teolojik olarak “lanetli” ve “ruhsuz” varlık</w:t>
      </w:r>
      <w:r>
        <w:t xml:space="preserve"> olarak kabul edilmiş ve bundan dolayı hor görülmüş ve zulme uğramıştır. B</w:t>
      </w:r>
      <w:r w:rsidRPr="00823599">
        <w:t>una karşılık bazı istisnai toplumlarda veya kabilelerde sınırlı hak ve saygınlığa sahip soylu kadın tipinin de var olduğu belirtilir</w:t>
      </w:r>
      <w:r>
        <w:t>.</w:t>
      </w:r>
    </w:p>
    <w:p w14:paraId="4158AF53" w14:textId="2DEBF784" w:rsidR="00B8798D" w:rsidRDefault="00B8798D" w:rsidP="00B8798D">
      <w:pPr>
        <w:jc w:val="both"/>
      </w:pPr>
      <w:proofErr w:type="spellStart"/>
      <w:r w:rsidRPr="00463786">
        <w:t>Konfüçyanizm</w:t>
      </w:r>
      <w:proofErr w:type="spellEnd"/>
      <w:r w:rsidRPr="00463786">
        <w:t xml:space="preserve">, MÖ 551–479 yılları arasında yaşamış olan Kong </w:t>
      </w:r>
      <w:proofErr w:type="spellStart"/>
      <w:r w:rsidRPr="00463786">
        <w:t>Qiu’nun</w:t>
      </w:r>
      <w:proofErr w:type="spellEnd"/>
      <w:r w:rsidRPr="00463786">
        <w:t xml:space="preserve"> (</w:t>
      </w:r>
      <w:proofErr w:type="spellStart"/>
      <w:r w:rsidRPr="00463786">
        <w:t>Latinceleştirilmiş</w:t>
      </w:r>
      <w:proofErr w:type="spellEnd"/>
      <w:r w:rsidRPr="00463786">
        <w:t xml:space="preserve"> adıyla </w:t>
      </w:r>
      <w:proofErr w:type="spellStart"/>
      <w:r w:rsidRPr="00463786">
        <w:t>Confucius</w:t>
      </w:r>
      <w:proofErr w:type="spellEnd"/>
      <w:r w:rsidRPr="00463786">
        <w:t>) öğretilerine dayanan, Çin kökenli ahlâkî-felsefî bir sistemdir; belirgin bir tanrı tasavvuru ve ölüm sonrası hayata ilişkin doktrini bulunmadığından genellikle bir “</w:t>
      </w:r>
      <w:proofErr w:type="spellStart"/>
      <w:r w:rsidRPr="00463786">
        <w:t>din”den</w:t>
      </w:r>
      <w:proofErr w:type="spellEnd"/>
      <w:r w:rsidRPr="00463786">
        <w:t xml:space="preserve"> ziyade etik ve toplumsal bir öğreti olarak kabul edilir. Konfüçyüs esasen bir ahlâk düşünürü ve eğitmenidir; amacı, “üstün </w:t>
      </w:r>
      <w:proofErr w:type="spellStart"/>
      <w:r w:rsidRPr="00463786">
        <w:t>insan”ı</w:t>
      </w:r>
      <w:proofErr w:type="spellEnd"/>
      <w:r w:rsidRPr="00463786">
        <w:t xml:space="preserve"> yetiştirmek, itidal ilkesine dayalı bir “orta yol” anlayışıyla hayat sürmeyi öğretmek ve nezaket, ölçülülük, saygı ve sorumluluğu önceleyen kültürlü bir yaşam tarzı inşa etmektir</w:t>
      </w:r>
      <w:r w:rsidRPr="00E50845">
        <w:t>.</w:t>
      </w:r>
      <w:r>
        <w:fldChar w:fldCharType="begin"/>
      </w:r>
      <w:r w:rsidR="000F0890">
        <w:instrText xml:space="preserve"> ADDIN ZOTERO_ITEM CSL_CITATION {"citationID":"jFjwo7WB","properties":{"formattedCitation":"(G\\uc0\\u252{}\\uc0\\u231{}, t.y.)","plainCitation":"(Güç, t.y.)","noteIndex":0},"citationItems":[{"id":"gbBUyyWH/KDcQEKO7","uris":["http://zotero.org/users/19130126/items/37ULU3VG"],"itemData":{"id":618,"type":"entry-encyclopedia","abstract":"Konfüçyüs’e nisbet edilen dinî, ahlâkî, sosyal, politik, ekonomik konularla ilgili inanç ve uygulamaların bütünü.","language":"tr","publisher":"TDV İslâm Ansiklopedisi","title":"KONFÜÇYÜSÇÜLÜK","URL":"https://islamansiklopedisi.org.tr/konfucyusculuk","author":[{"family":"Güç","given":"Ahmet"}],"accessed":{"date-parts":[["2026",1,16]]}}}],"schema":"https://github.com/citation-style-language/schema/raw/master/csl-citation.json"} </w:instrText>
      </w:r>
      <w:r>
        <w:fldChar w:fldCharType="separate"/>
      </w:r>
      <w:r w:rsidRPr="00BF36FC">
        <w:rPr>
          <w:rFonts w:ascii="Times New Roman" w:hAnsi="Times New Roman" w:cs="Times New Roman"/>
          <w:kern w:val="0"/>
        </w:rPr>
        <w:t xml:space="preserve">(Güç, </w:t>
      </w:r>
      <w:proofErr w:type="spellStart"/>
      <w:r w:rsidRPr="00BF36FC">
        <w:rPr>
          <w:rFonts w:ascii="Times New Roman" w:hAnsi="Times New Roman" w:cs="Times New Roman"/>
          <w:kern w:val="0"/>
        </w:rPr>
        <w:t>t.y</w:t>
      </w:r>
      <w:proofErr w:type="spellEnd"/>
      <w:r w:rsidRPr="00BF36FC">
        <w:rPr>
          <w:rFonts w:ascii="Times New Roman" w:hAnsi="Times New Roman" w:cs="Times New Roman"/>
          <w:kern w:val="0"/>
        </w:rPr>
        <w:t>.)</w:t>
      </w:r>
      <w:r>
        <w:fldChar w:fldCharType="end"/>
      </w:r>
      <w:r>
        <w:t xml:space="preserve"> </w:t>
      </w:r>
    </w:p>
    <w:p w14:paraId="024ADE0B" w14:textId="0E6A8421" w:rsidR="00B8798D" w:rsidRPr="00567AE2" w:rsidRDefault="00B8798D" w:rsidP="00B8798D">
      <w:pPr>
        <w:jc w:val="both"/>
      </w:pPr>
      <w:r w:rsidRPr="00567AE2">
        <w:t>Konfüçyüsçülük’te kadın, “üç itaat ve dört erdem” öğretisi çerçevesinde hayatı boyunca babasına, kocasına ve dul kaldıysa oğluna tâbi olması gereken bir konumda düşünülmüş; böylece ataerkil yapıyı pekiştiren hiyerarşik bir aile modeli idealize edilmiştir. Geleneksel Çin toplumunda evlilik, başlık/</w:t>
      </w:r>
      <w:proofErr w:type="spellStart"/>
      <w:r w:rsidRPr="00567AE2">
        <w:t>bride-price</w:t>
      </w:r>
      <w:proofErr w:type="spellEnd"/>
      <w:r w:rsidRPr="00567AE2">
        <w:t xml:space="preserve"> uygulaması ve soyun erkek üzerinden devamı fikriyle iç içe geçtiği için, kadın çoğu zaman erkeğin hane ve soy düzeni içinde ikincil, “bağımlı” bir unsur olarak konumlanmış; boşanma hakkının fiilen erkeğin yetkisi olarak düzenlenmesi ve dul kadının yeniden evlenmek yerine “iffetli dul” kalmasının yüceltilmesi, kadının hareket alanını ciddi biçimde daraltmıştır. Özellikle geç imparatorluk döneminde dul kadınların yeniden evlenmemeye teşvik edilmesi ve dul iffeti ideolojisinin yaygınlaştırılması, bazı kadınların kocalarının ölümü sonrasında intihara yönelmesine kadar varan ağır toplumsal baskı biçimlerine zemin hazırlamıştır.</w:t>
      </w:r>
      <w:r w:rsidRPr="00BF36FC">
        <w:t xml:space="preserve"> </w:t>
      </w:r>
      <w:r>
        <w:fldChar w:fldCharType="begin"/>
      </w:r>
      <w:r w:rsidR="000F0890">
        <w:instrText xml:space="preserve"> ADDIN ZOTERO_ITEM CSL_CITATION {"citationID":"QdyRfffG","properties":{"formattedCitation":"(Azert\\uc0\\u252{}rk &amp; Akman, 2018)","plainCitation":"(Azertürk &amp; Akman, 2018)","noteIndex":0},"citationItems":[{"id":823,"uris":["http://zotero.org/users/19130126/items/EHRMIU7N"],"itemData":{"id":823,"type":"article-journal","abstract":"Family are the foundation of society. Humankind has maintained it’s existence with the collaboration of women and men however, they have carried different values. During the ancient times, women were the center of the system forming the matriarchal period by being fertile and undertaking the role of managing society. However in the changing time, aspects of culture and life have given men prominence. Even today there are many women issues in society. They encounter many difficulties in various fields. The basic factor behind the issue has for each society varies. We shall assess the Confucian thought and how women in the Chinese society have taken a backseat throughout society for many years, and how their progression has deferred.","container-title":"Eskişehir Osmangazi Üniversitesi Sosyal Bilimler Dergisi","DOI":"10.17494/ogusbd.456909","ISSN":"2149-9047","issue":"1","language":"tr","page":"19-37","source":"DOI.org (Crossref)","title":"Konfuçyüs’ün Kadın Görüşü Üzerine","volume":"19","author":[{"family":"Azertürk","given":"Semine İmge"},{"family":"Akman","given":"Tuğçe"}],"issued":{"date-parts":[["2018",6,1]]}}}],"schema":"https://github.com/citation-style-language/schema/raw/master/csl-citation.json"} </w:instrText>
      </w:r>
      <w:r>
        <w:fldChar w:fldCharType="separate"/>
      </w:r>
      <w:r w:rsidRPr="00BF36FC">
        <w:rPr>
          <w:rFonts w:ascii="Times New Roman" w:hAnsi="Times New Roman" w:cs="Times New Roman"/>
          <w:kern w:val="0"/>
          <w:sz w:val="20"/>
        </w:rPr>
        <w:t>(</w:t>
      </w:r>
      <w:proofErr w:type="spellStart"/>
      <w:r w:rsidRPr="00BF36FC">
        <w:rPr>
          <w:rFonts w:ascii="Times New Roman" w:hAnsi="Times New Roman" w:cs="Times New Roman"/>
          <w:kern w:val="0"/>
          <w:sz w:val="20"/>
        </w:rPr>
        <w:t>Azertürk</w:t>
      </w:r>
      <w:proofErr w:type="spellEnd"/>
      <w:r w:rsidRPr="00BF36FC">
        <w:rPr>
          <w:rFonts w:ascii="Times New Roman" w:hAnsi="Times New Roman" w:cs="Times New Roman"/>
          <w:kern w:val="0"/>
          <w:sz w:val="20"/>
        </w:rPr>
        <w:t xml:space="preserve"> &amp; Akman, 2018)</w:t>
      </w:r>
      <w:r>
        <w:fldChar w:fldCharType="end"/>
      </w:r>
    </w:p>
    <w:p w14:paraId="0D350C23" w14:textId="77777777" w:rsidR="00B8798D" w:rsidRDefault="00B8798D" w:rsidP="00B8798D">
      <w:pPr>
        <w:pStyle w:val="berschrift3"/>
      </w:pPr>
      <w:bookmarkStart w:id="1" w:name="_Toc219583129"/>
      <w:r w:rsidRPr="008902AE">
        <w:t>Asurlularda Nikâh Hukuku ve Kadın</w:t>
      </w:r>
      <w:bookmarkEnd w:id="1"/>
    </w:p>
    <w:p w14:paraId="471F60C6" w14:textId="77777777" w:rsidR="00B8798D" w:rsidRPr="002B3EEC" w:rsidRDefault="00B8798D" w:rsidP="00B8798D">
      <w:pPr>
        <w:jc w:val="both"/>
      </w:pPr>
      <w:r w:rsidRPr="002B3EEC">
        <w:t xml:space="preserve">Kuruluşu M.Ö. 2000’li yıllara uzanan Asur toplumu, yazılı hukuk metinlerine sahip ilk topluluklardan biri olması bakımından dikkat çekicidir. Asur hukukunda ataerkil yapı hâkimdir; baba ailenin reisi olarak kabul edilmiş, eş ve çocuklar üzerinde geniş bir </w:t>
      </w:r>
      <w:r w:rsidRPr="002B3EEC">
        <w:lastRenderedPageBreak/>
        <w:t xml:space="preserve">otorite ile donatılmıştır. Kültepe tabletleri ve Orta Asur Kanunları, bir yandan evlilik akdinin yazılı sözleşmelerle güvence altına alındığını ve kimi dönemlerde eşlerin boşanma ve mal paylaşımı konularında belirli haklara sahip olabildiğini gösterirken, diğer yandan borç karşılığında aile bireylerinin </w:t>
      </w:r>
      <w:proofErr w:type="spellStart"/>
      <w:r w:rsidRPr="002B3EEC">
        <w:t>rehne</w:t>
      </w:r>
      <w:proofErr w:type="spellEnd"/>
      <w:r w:rsidRPr="002B3EEC">
        <w:t xml:space="preserve"> konu edilebilmesi gibi ağır hükümler içermektedir. Nitekim bazı düzenlemelere göre koca, ödeyemediği bir borcu sebebiyle belirli süreyle eşini veya çocuklarını alacaklıya rehin bırakabilmekte; koca tek taraflı olarak karısını boşayabilmekte, sebepsiz boşanma hâlinde ise kadının çeyizini almasına izin verilmektedir. Buna karşılık, karısını “kötü huylu/huysuz” olduğu iddiasıyla boşayan erkeğin, bazı metinlerde nehir/su sınavına benzer ağır bir ceza prosedürüyle karşılaşabildiği veya kadının suya atılma türünden ağır yaptırımlara maruz kalabildiği</w:t>
      </w:r>
      <w:r>
        <w:fldChar w:fldCharType="begin"/>
      </w:r>
      <w:r>
        <w:instrText xml:space="preserve"> ADDIN ZOTERO_ITEM CSL_CITATION {"citationID":"cHf4o8eX","properties":{"formattedCitation":"(S\\uc0\\u252{}nb\\uc0\\u252{}l, 2020)","plainCitation":"(Sünbül, 2020)","noteIndex":0},"citationItems":[{"id":826,"uris":["http://zotero.org/users/19130126/items/9W3WWQ35"],"itemData":{"id":826,"type":"article-journal","abstract":"Ebeveyn ve çocuklardan oluşan en küçük toplumsal birim olarak tanımlanan ailenin temelleri, çok erken dönemlere dayanmaktadır. Eski Mezopotamya kavimlerine ait belgeler, ailenin oluşumu, aile bireyleri ve karşılıklı yükümlülükleri, aile içi ilişkiler, ailenin korunması ve devamı hususunda önemli bilgiler içermektedir. Eski Mezopotamya’ya ait yazılı belgelere göre kadın ile erkeğin, şahitler huzurunda yazılı vesika ile evlenmeleriyle ailenin ilk adımı atılmakta ve çocukların katılmasıyla da söz konusu kurumun oluşumu tamamlanmaktadır. Gerek hukuki ve iktisadi belgeler gerekse de kanun metinlerindeki evlenme-boşanma, eşler arasındaki ilişkiler, miras ve evlat edinme konularına dair maddeler, aile birliğinin esas kabul edildiğini göstermektedir. Zira soyun devamı, mirasın aktarımı, toplumsal düzenin sağlanması, duygusal olduğu kadar dayanışmaya dayanan aynı zamanda ekonomik bir birlik olan aile ile mümkün olup oluşturulan tüm kurallar, ailenin bütünlüğü ve sürekliliğinin sağlanmasına yöneliktir.","container-title":"OANNES - International Journal of Ancient History","ISSN":"2667-7059","issue":"1","journalAbbreviation":"OANNES","language":"tr","page":"99-113","publisher":"Okay PEKŞEN","source":"dergipark.org.tr","title":"ESKİ MEZOPOTAMYA HUKUKUNDA AİLE VE EVLİLİK","volume":"2","author":[{"family":"Sünbül","given":"Nazan"}],"issued":{"date-parts":[["2020",3,26]]}}}],"schema":"https://github.com/citation-style-language/schema/raw/master/csl-citation.json"} </w:instrText>
      </w:r>
      <w:r>
        <w:fldChar w:fldCharType="separate"/>
      </w:r>
      <w:r w:rsidRPr="00BF36FC">
        <w:rPr>
          <w:rFonts w:ascii="Times New Roman" w:hAnsi="Times New Roman" w:cs="Times New Roman"/>
          <w:kern w:val="0"/>
        </w:rPr>
        <w:t>(</w:t>
      </w:r>
      <w:proofErr w:type="spellStart"/>
      <w:r w:rsidRPr="00BF36FC">
        <w:rPr>
          <w:rFonts w:ascii="Times New Roman" w:hAnsi="Times New Roman" w:cs="Times New Roman"/>
          <w:kern w:val="0"/>
        </w:rPr>
        <w:t>Sünbül</w:t>
      </w:r>
      <w:proofErr w:type="spellEnd"/>
      <w:r w:rsidRPr="00BF36FC">
        <w:rPr>
          <w:rFonts w:ascii="Times New Roman" w:hAnsi="Times New Roman" w:cs="Times New Roman"/>
          <w:kern w:val="0"/>
        </w:rPr>
        <w:t>, 2020)</w:t>
      </w:r>
      <w:r>
        <w:fldChar w:fldCharType="end"/>
      </w:r>
      <w:r w:rsidRPr="002B3EEC">
        <w:t xml:space="preserve"> nakledilmektedir</w:t>
      </w:r>
      <w:r>
        <w:t>.</w:t>
      </w:r>
    </w:p>
    <w:p w14:paraId="19D07665" w14:textId="77777777" w:rsidR="00B8798D" w:rsidRPr="002B3EEC" w:rsidRDefault="00B8798D" w:rsidP="00B8798D">
      <w:pPr>
        <w:jc w:val="both"/>
      </w:pPr>
      <w:r w:rsidRPr="002B3EEC">
        <w:t>Aksoy’un değerlendirmesi de, Eski Mezopotamya hukukunda kadının bir yandan nikâh akdi ve çeyiz kurumu üzerinden kısmen korunurken diğer yandan aile içi otorite ilişkileri ve borç hukuku bağlamında ciddi hak kayıplarına açık bir konumda bulunduğunu vurgulamaktadır.</w:t>
      </w:r>
      <w:r>
        <w:fldChar w:fldCharType="begin"/>
      </w:r>
      <w:r>
        <w:instrText xml:space="preserve"> ADDIN ZOTERO_ITEM CSL_CITATION {"citationID":"bjvCkSk5","properties":{"formattedCitation":"(Aksoy, 2021)","plainCitation":"(Aksoy, 2021)","noteIndex":0},"citationItems":[{"id":6,"uris":["http://zotero.org/users/19130126/items/MAEQACL9"],"itemData":{"id":6,"type":"article-journal","abstract":"Allah has intended to create a caliph on earth, and as a manifestation of this will He created man. Humans are made up of two different species, male and female. Hz. Allah has made marriage and marriage legitimate for the continuation of the human race, which consists of different species, and has forbidden adultery. Therefore, human beings are creatures that live in society. There are certain values that are inevitable for the society to maintain its existence. If these values are lost, the order of life will be destroyed, corruption and evil will spread everywhere. The duty of servitude, which is the purpose of man's creation, is forgotten and the person is deprived of the eternal bliss of the hereafter. At the forefront of these values is the family institution. Because the family is the most important basic building block that makes up the society and the state. Therefore, the existence of the society, the state and even the legal systems depend on the continuation of a regular family institution. Because the family is a bridge between society and individuals. Therefore, the family institution, which is the smallest and basic element of the social structure, has been the most important institution in all divine religions throughout history. One of the two essential elements that make up the family is the woman. However, the status of women in society has always been discussed in pre-Islamic societies.","container-title":"Uluslararası Sosyal ve Eğitim Bilimleri Dergisi","DOI":"10.20860/ijoses.929270","ISSN":"2148-8673","issue":"15","language":"tr","page":"20-39","source":"DOI.org (Crossref)","title":"İslam Öncesi Toplumlarda ve İslam’da Kadının Statüsü","volume":"0","author":[{"family":"Aksoy","given":"Ramazan"}],"issued":{"date-parts":[["2021",6,20]]}}}],"schema":"https://github.com/citation-style-language/schema/raw/master/csl-citation.json"} </w:instrText>
      </w:r>
      <w:r>
        <w:fldChar w:fldCharType="separate"/>
      </w:r>
      <w:r w:rsidRPr="00BF36FC">
        <w:rPr>
          <w:rFonts w:ascii="Times New Roman" w:hAnsi="Times New Roman" w:cs="Times New Roman"/>
        </w:rPr>
        <w:t>(Aksoy, 2021)</w:t>
      </w:r>
      <w:r>
        <w:fldChar w:fldCharType="end"/>
      </w:r>
    </w:p>
    <w:p w14:paraId="6D5ACF83" w14:textId="77777777" w:rsidR="00B8798D" w:rsidRPr="009B19F5" w:rsidRDefault="00B8798D" w:rsidP="00B8798D">
      <w:pPr>
        <w:pStyle w:val="berschrift3"/>
      </w:pPr>
      <w:bookmarkStart w:id="2" w:name="_Toc219583130"/>
      <w:r w:rsidRPr="009B19F5">
        <w:t>Yunanlılarda Nikâh Hukuku ve Kadın</w:t>
      </w:r>
      <w:bookmarkEnd w:id="2"/>
    </w:p>
    <w:p w14:paraId="4FD7D817" w14:textId="77777777" w:rsidR="00B8798D" w:rsidRDefault="00B8798D" w:rsidP="00B8798D">
      <w:pPr>
        <w:jc w:val="both"/>
      </w:pPr>
      <w:r w:rsidRPr="005D25DA">
        <w:t>Erken ve klasik Yunan dünyasında, özellikle Atina’da kadın her türlü siyasî haktan yoksun olup, yaşamı boyunca bir erkek vasiye bağlı kabul edilmekteydi. Evlilik, kadının rızasından ziyade aileler arası anlaşma ve çeyiz</w:t>
      </w:r>
      <w:r>
        <w:t xml:space="preserve"> </w:t>
      </w:r>
      <w:r w:rsidRPr="005D25DA">
        <w:t>üzerinden şekillenen bir hukukî-iktisadî kurumdu; baba veya en yakın erkek akraba kızını çoğu zaman onun açık rızasını aramaksızın nişanlayıp evlendirebilmekteydi. Atina’da evlilik öncesi nişan babanın/</w:t>
      </w:r>
      <w:r>
        <w:t xml:space="preserve"> velinin </w:t>
      </w:r>
      <w:r w:rsidRPr="005D25DA">
        <w:t>damatla yaptığı bir sözleşme iken, kadın, evlilik öncesinde babasının; evlilik sonrasında ise kocasının evinde, büyük ölçüde ev içi rollerle sınırlandırılmış, kamusal ve siyasî alandan dışlanmıştı.</w:t>
      </w:r>
      <w:r>
        <w:fldChar w:fldCharType="begin"/>
      </w:r>
      <w:r>
        <w:instrText xml:space="preserve"> ADDIN ZOTERO_ITEM CSL_CITATION {"citationID":"XIFhxZFt","properties":{"formattedCitation":"(Just, 1989; Patterson, 1998)","plainCitation":"(Just, 1989; Patterson, 1998)","noteIndex":0},"citationItems":[{"id":829,"uris":["http://zotero.org/users/19130126/items/L32P54ST"],"itemData":{"id":829,"type":"book","abstract":"286 pages ; 24 cm; The Family, Cynthia Patterson demonstrates, played a key role in the political changes that mark the history of ancient Greece. From the archaic society portrayed in Homer and Hesiod to the Hellenistic age, the private world of the family and household was integral with and essential to the civic realm. This is an understanding that fits the Athenian concept of the city as the highest form of family. The suppression of the cities with the ascendancy of Alexander's empire led to a new resolution of the relationship between public and private authority: the concept of a community of households, which is clearly exemplified in Menander's plays. Undercutting hitherto common interpretations of Greek experience as evolving from clan to patriarchal state, Patterson's insightful analysis sheds new light on the role of men and women in Greek culture; Includes bibliographical references (pages 231-281) and index; The Nineteenth-century paradigm of Greek Family History -- the Family in Homer and Hesiod -- Early Greek law and the family -- Marriage and Adultery in democratic Athens -- Adultery onstage and in court -- Public and private in early Hellenistic Athens","ISBN":"978-0-674-29270-3","language":"eng","number-of-pages":"314","publisher":"Cambridge, Mass. : Harvard University Press","source":"Internet Archive","title":"The family in Greek history","URL":"http://archive.org/details/familyingreekhis0000patt","author":[{"family":"Patterson","given":"Cynthia"}],"contributor":[{"literal":"Internet Archive"}],"accessed":{"date-parts":[["2026",5,8]]},"issued":{"date-parts":[["1998"]]}}},{"id":828,"uris":["http://zotero.org/users/19130126/items/K92PXMHK"],"itemData":{"id":828,"type":"book","abstract":"Based on the author's B. Litt. thesis in anthropology at the Institut of Social Anthropology, Oxford, 1976; Includes bibliographical references (pages 299-307) and indexes","ISBN":"978-0-415-00346-9","language":"eng","number-of-pages":"346","publisher":"London ; New York : Routledge","source":"Internet Archive","title":"Women in Athenian law and life","URL":"http://archive.org/details/womeninathenianl00just","author":[{"family":"Just","given":"Roger"}],"contributor":[{"literal":"Internet Archive"}],"accessed":{"date-parts":[["2026",5,8]]},"issued":{"date-parts":[["1989"]]}}}],"schema":"https://github.com/citation-style-language/schema/raw/master/csl-citation.json"} </w:instrText>
      </w:r>
      <w:r>
        <w:fldChar w:fldCharType="separate"/>
      </w:r>
      <w:r w:rsidRPr="00BF36FC">
        <w:rPr>
          <w:rFonts w:ascii="Times New Roman" w:hAnsi="Times New Roman" w:cs="Times New Roman"/>
        </w:rPr>
        <w:t>(</w:t>
      </w:r>
      <w:proofErr w:type="spellStart"/>
      <w:r w:rsidRPr="00BF36FC">
        <w:rPr>
          <w:rFonts w:ascii="Times New Roman" w:hAnsi="Times New Roman" w:cs="Times New Roman"/>
        </w:rPr>
        <w:t>Just</w:t>
      </w:r>
      <w:proofErr w:type="spellEnd"/>
      <w:r w:rsidRPr="00BF36FC">
        <w:rPr>
          <w:rFonts w:ascii="Times New Roman" w:hAnsi="Times New Roman" w:cs="Times New Roman"/>
        </w:rPr>
        <w:t>, 1989; Patterson, 1998)</w:t>
      </w:r>
      <w:r>
        <w:fldChar w:fldCharType="end"/>
      </w:r>
    </w:p>
    <w:p w14:paraId="2689BBCE" w14:textId="77777777" w:rsidR="00B8798D" w:rsidRDefault="00B8798D" w:rsidP="00B8798D">
      <w:pPr>
        <w:jc w:val="both"/>
      </w:pPr>
      <w:r w:rsidRPr="00594251">
        <w:t xml:space="preserve">Boşanma hakkı hukuk tekniği bakımından hem erkeğe hem kadına tanınmış görünse </w:t>
      </w:r>
      <w:proofErr w:type="gramStart"/>
      <w:r w:rsidRPr="00594251">
        <w:t>de,</w:t>
      </w:r>
      <w:proofErr w:type="gramEnd"/>
      <w:r w:rsidRPr="00594251">
        <w:t xml:space="preserve"> uygulamada inisiyatif ağırlıklı olarak erkeğin elindeydi. Erkek, karısını boşamak istediğinde onu evden göndermesi ve çeyizini iade etmesiyle boşanma gerçekleşebiliyor; kadın ise boşanmak istediğinde </w:t>
      </w:r>
      <w:r w:rsidRPr="00B649C6">
        <w:rPr>
          <w:i/>
          <w:iCs/>
        </w:rPr>
        <w:t>agoraya</w:t>
      </w:r>
      <w:r w:rsidRPr="00594251">
        <w:t xml:space="preserve"> gidip bir devlet görevlisine (</w:t>
      </w:r>
      <w:proofErr w:type="spellStart"/>
      <w:r w:rsidRPr="00594251">
        <w:t>archon</w:t>
      </w:r>
      <w:proofErr w:type="spellEnd"/>
      <w:r w:rsidRPr="00594251">
        <w:t xml:space="preserve">) başvurarak hakkını kullanabiliyor, fakat bu yol hem sosyal baskılar hem de vesayet ilişkileri sebebiyle erkeğe kıyasla çok daha zor ve istisnaî bir imkân niteliği taşıyordu. Buna karşılık, çeyizin kadının ailesine iade edilmesi zorunluluğu, kimi </w:t>
      </w:r>
      <w:r w:rsidRPr="00594251">
        <w:lastRenderedPageBreak/>
        <w:t>durumlarda erkeği sebepsiz boşanmadan caydıran bir ekonomik fren mekanizması işlevi görebilmekteydi.</w:t>
      </w:r>
    </w:p>
    <w:p w14:paraId="0CF69253" w14:textId="77777777" w:rsidR="00B8798D" w:rsidRDefault="00B8798D" w:rsidP="00B8798D">
      <w:pPr>
        <w:jc w:val="both"/>
      </w:pPr>
      <w:proofErr w:type="spellStart"/>
      <w:r w:rsidRPr="00F57CFD">
        <w:t>Sparta’da</w:t>
      </w:r>
      <w:proofErr w:type="spellEnd"/>
      <w:r w:rsidRPr="00F57CFD">
        <w:t xml:space="preserve"> ise durum daha paradoksaldır. Burada da ataerkil bir yapı söz konusudur; ancak erkek nüfusun sürekli askerî seferlerde bulunması ve miras hukukunun özellikleri sebebiyle, kadınların mülkiyet edinme, miras alma ve büyük aile işletmelerini fiilen yönetme imkânları diğer </w:t>
      </w:r>
      <w:proofErr w:type="spellStart"/>
      <w:r w:rsidRPr="00F57CFD">
        <w:rPr>
          <w:i/>
          <w:iCs/>
        </w:rPr>
        <w:t>polis</w:t>
      </w:r>
      <w:r w:rsidRPr="00F57CFD">
        <w:t>’lere</w:t>
      </w:r>
      <w:proofErr w:type="spellEnd"/>
      <w:r w:rsidRPr="00F57CFD">
        <w:t xml:space="preserve"> göre belirgin biçimde genişlemiştir. Aristoteles, </w:t>
      </w:r>
      <w:proofErr w:type="spellStart"/>
      <w:r w:rsidRPr="00F57CFD">
        <w:t>Politika’da</w:t>
      </w:r>
      <w:proofErr w:type="spellEnd"/>
      <w:r w:rsidRPr="00F57CFD">
        <w:t xml:space="preserve"> Spartalı kadınların</w:t>
      </w:r>
      <w:r>
        <w:t xml:space="preserve">ı </w:t>
      </w:r>
      <w:r w:rsidRPr="00F57CFD">
        <w:t xml:space="preserve">sert biçimde eleştirir; kadın mülkiyetini siyasî bozulmanın bir sebebi olarak resmeder. Antik kaynaklarda, </w:t>
      </w:r>
      <w:proofErr w:type="spellStart"/>
      <w:r w:rsidRPr="00F57CFD">
        <w:t>Sparta’da</w:t>
      </w:r>
      <w:proofErr w:type="spellEnd"/>
      <w:r w:rsidRPr="00F57CFD">
        <w:t xml:space="preserve"> kadınların çarşıya çıkma, mal alıp satma, bazı kamusal törenlere katılma ve miras yoluyla ciddi servet biriktirebilmesi, bir yandan “kadın nefretinin” söylemsel düzeyde keskinleşmesine, diğer yandan da kadın özgürlüğünün ahlâkî ve siyasî çözülmeyle özdeşleştirilmesine zemin hazırlamıştır</w:t>
      </w:r>
      <w:r>
        <w:t>.</w:t>
      </w:r>
    </w:p>
    <w:p w14:paraId="6A582E60" w14:textId="77777777" w:rsidR="00B8798D" w:rsidRDefault="00B8798D" w:rsidP="00B8798D">
      <w:pPr>
        <w:jc w:val="both"/>
      </w:pPr>
      <w:r w:rsidRPr="007F7B55">
        <w:t xml:space="preserve">Filozofların kadın tasavvuru da bu bağlamdan bağımsız değildir. Sokrates’in bizzat kendi kaleminden bir metnimiz bulunmasa </w:t>
      </w:r>
      <w:proofErr w:type="gramStart"/>
      <w:r w:rsidRPr="007F7B55">
        <w:t>da,</w:t>
      </w:r>
      <w:proofErr w:type="gramEnd"/>
      <w:r w:rsidRPr="007F7B55">
        <w:t xml:space="preserve"> klasik kaynaklarda ve sonraki gelenekte ona atfedilen sözler, kadının akıl ve karakter bakımından erkeğe göre “aşağı” bir varlık olarak tasvir edildiğini göstermektedir; Sokrat’a nispet edilen ve kadını “zehirli meyve </w:t>
      </w:r>
      <w:proofErr w:type="spellStart"/>
      <w:r w:rsidRPr="007F7B55">
        <w:t>ağacı”na</w:t>
      </w:r>
      <w:proofErr w:type="spellEnd"/>
      <w:r w:rsidRPr="007F7B55">
        <w:t xml:space="preserve"> benzeten ifadeler, antik Yunan entelektüel iklimindeki köklü kadın karşıtı söylemin tipik örnekleri olarak okunabilir. Aristoteles, hem biyolojik metinlerinde hem de </w:t>
      </w:r>
      <w:proofErr w:type="spellStart"/>
      <w:r w:rsidRPr="007F7B55">
        <w:t>Politika’da</w:t>
      </w:r>
      <w:proofErr w:type="spellEnd"/>
      <w:r w:rsidRPr="007F7B55">
        <w:t xml:space="preserve"> kadını “eksik erkek”, aklî yetileri tam gelişmemiş, bu sebeple tabi olması gereken bir varlık olarak konumlandırır; </w:t>
      </w:r>
      <w:proofErr w:type="spellStart"/>
      <w:r w:rsidRPr="007F7B55">
        <w:t>Sparta</w:t>
      </w:r>
      <w:proofErr w:type="spellEnd"/>
      <w:r w:rsidRPr="007F7B55">
        <w:t xml:space="preserve"> örneğinde olduğu gibi kadınların mal varlığı ve görünürlüğünü bile siyasal düzen için bir tehdit olarak okur.</w:t>
      </w:r>
      <w:r>
        <w:fldChar w:fldCharType="begin"/>
      </w:r>
      <w:r>
        <w:instrText xml:space="preserve"> ADDIN ZOTERO_ITEM CSL_CITATION {"citationID":"OniXvXbl","properties":{"formattedCitation":"(Altuner, 2018)","plainCitation":"(Altuner, 2018)","noteIndex":0},"citationItems":[{"id":4,"uris":["http://zotero.org/users/19130126/items/5ZPKYSVF"],"itemData":{"id":4,"type":"article-journal","container-title":"Ulusararası İslam ve Kadın Çalıştayı","language":"tr","page":"39-48","publisher-place":"Iğdır","source":"Zotero","title":"İslam Felsefe Geleneğinde Kadın İmgesi","author":[{"family":"Altuner","given":"İlyas"}],"issued":{"date-parts":[["2018"]]}}}],"schema":"https://github.com/citation-style-language/schema/raw/master/csl-citation.json"} </w:instrText>
      </w:r>
      <w:r>
        <w:fldChar w:fldCharType="separate"/>
      </w:r>
      <w:r w:rsidRPr="00BF36FC">
        <w:rPr>
          <w:rFonts w:ascii="Times New Roman" w:hAnsi="Times New Roman" w:cs="Times New Roman"/>
          <w:sz w:val="20"/>
        </w:rPr>
        <w:t>(</w:t>
      </w:r>
      <w:proofErr w:type="spellStart"/>
      <w:r w:rsidRPr="00BF36FC">
        <w:rPr>
          <w:rFonts w:ascii="Times New Roman" w:hAnsi="Times New Roman" w:cs="Times New Roman"/>
          <w:sz w:val="20"/>
        </w:rPr>
        <w:t>Altuner</w:t>
      </w:r>
      <w:proofErr w:type="spellEnd"/>
      <w:r w:rsidRPr="00BF36FC">
        <w:rPr>
          <w:rFonts w:ascii="Times New Roman" w:hAnsi="Times New Roman" w:cs="Times New Roman"/>
          <w:sz w:val="20"/>
        </w:rPr>
        <w:t>, 2018)</w:t>
      </w:r>
      <w:r>
        <w:fldChar w:fldCharType="end"/>
      </w:r>
    </w:p>
    <w:p w14:paraId="53F809DE" w14:textId="77777777" w:rsidR="00B8798D" w:rsidRPr="00514B0D" w:rsidRDefault="00B8798D" w:rsidP="00B8798D">
      <w:pPr>
        <w:jc w:val="both"/>
      </w:pPr>
      <w:r w:rsidRPr="00514B0D">
        <w:t xml:space="preserve">Platon ise Devlet diyaloğunun V. kitabında, bekçi/koruyucu sınıfı için kadınların erkeklerle aynı eğitimi alarak askerî ve yönetsel görevlere atanabileceğini ileri sürmesi bakımından dönemi için radikal görünür. Ancak çağdaş Platon yorumları, bu önerinin temelinde modern anlamda bir “cinsiyet eşitliği” veya kadın hakları fikrinin değil, ideal devletin bütünlüğü ve bekçi sınıfının verimliliğinin yattığını vurgular; kadın bekçiler, bireysel özneler olarak değil, mümkün olan “en iyi nesli” üretmek ve devletin devamını sağlamak üzere araçsallaştırılan bir unsur olarak tasarlanır. </w:t>
      </w:r>
      <w:r>
        <w:fldChar w:fldCharType="begin"/>
      </w:r>
      <w:r>
        <w:instrText xml:space="preserve"> ADDIN ZOTERO_ITEM CSL_CITATION {"citationID":"xLyDpDXt","properties":{"formattedCitation":"(I\\uc0\\u351{}ikgi\\uc0\\u775{}L, 2017)","plainCitation":"(Işikgi̇L, 2017)","noteIndex":0},"citationItems":[{"id":621,"uris":["http://zotero.org/users/19130126/items/7IMZLNKD"],"itemData":{"id":621,"type":"article-journal","abstract":"In Ancient Greece, especially in Classical Athens, women are generally identified as intellectually inferior beings compared to men. Women are not seen as self-sufficient individuals, and they do not have equal rights with the males of the city. Even though, during Plato’s time the place of women in society is considered inferior to that of men, Plato seems as if he exhibits an egalitarian attitude towards the position of women and men in socio-political life due to some statements about women in his dialogues, The Symposium and The Republic. In The Symposium Plato refers to a wise woman character, Diotima, and in The Republic he proposes women’s active participation in political life. However, when we examine these dialogues, we can demonstrate that Plato in fact explicitly degrades women while placing them in seemingly superior positions, and in this study I will discuss this claim in two main sections. In the first section I will clarify Diotima’s place in The Symposium, and in the second section I will explain the role of women in The Republic. In doing so I will reveal that Plato’s attitude towards the position of women and men in the society is not egalitarian.","language":"en","source":"Zotero","title":"A Study On Plato's Atiitude Towards Women","author":[{"family":"Işikgi̇L","given":"Sena"}],"issued":{"date-parts":[["2017"]]}}}],"schema":"https://github.com/citation-style-language/schema/raw/master/csl-citation.json"} </w:instrText>
      </w:r>
      <w:r>
        <w:fldChar w:fldCharType="separate"/>
      </w:r>
      <w:r w:rsidRPr="00BF36FC">
        <w:rPr>
          <w:rFonts w:ascii="Times New Roman" w:hAnsi="Times New Roman" w:cs="Times New Roman"/>
          <w:kern w:val="0"/>
          <w:sz w:val="20"/>
        </w:rPr>
        <w:t>(</w:t>
      </w:r>
      <w:proofErr w:type="spellStart"/>
      <w:r w:rsidRPr="00BF36FC">
        <w:rPr>
          <w:rFonts w:ascii="Times New Roman" w:hAnsi="Times New Roman" w:cs="Times New Roman"/>
          <w:kern w:val="0"/>
          <w:sz w:val="20"/>
        </w:rPr>
        <w:t>Işikgi̇L</w:t>
      </w:r>
      <w:proofErr w:type="spellEnd"/>
      <w:r w:rsidRPr="00BF36FC">
        <w:rPr>
          <w:rFonts w:ascii="Times New Roman" w:hAnsi="Times New Roman" w:cs="Times New Roman"/>
          <w:kern w:val="0"/>
          <w:sz w:val="20"/>
        </w:rPr>
        <w:t>, 2017)</w:t>
      </w:r>
      <w:r>
        <w:fldChar w:fldCharType="end"/>
      </w:r>
      <w:r>
        <w:t xml:space="preserve"> </w:t>
      </w:r>
      <w:r w:rsidRPr="00514B0D">
        <w:t xml:space="preserve">Platon’un diğer diyaloglarında (özellikle </w:t>
      </w:r>
      <w:proofErr w:type="spellStart"/>
      <w:r w:rsidRPr="00514B0D">
        <w:t>Timaios’ta</w:t>
      </w:r>
      <w:proofErr w:type="spellEnd"/>
      <w:r w:rsidRPr="00514B0D">
        <w:t>) kadınların ikinci dereceden varlıklar olarak resmedildiği dikkate alındığında, onun tutumunun Atina’nın genel kadın algısıyla büyük ölçüde uyumlu, sınırlı ve devlet-merkezli bir “eşitlik” tasavvuruna dayandığı açıktır.</w:t>
      </w:r>
      <w:r>
        <w:fldChar w:fldCharType="begin"/>
      </w:r>
      <w:r>
        <w:instrText xml:space="preserve"> ADDIN ZOTERO_ITEM CSL_CITATION {"citationID":"oPU5iMUc","properties":{"formattedCitation":"(Altuner, 2018)","plainCitation":"(Altuner, 2018)","noteIndex":0},"citationItems":[{"id":4,"uris":["http://zotero.org/users/19130126/items/5ZPKYSVF"],"itemData":{"id":4,"type":"article-journal","container-title":"Ulusararası İslam ve Kadın Çalıştayı","language":"tr","page":"39-48","publisher-place":"Iğdır","source":"Zotero","title":"İslam Felsefe Geleneğinde Kadın İmgesi","author":[{"family":"Altuner","given":"İlyas"}],"issued":{"date-parts":[["2018"]]}}}],"schema":"https://github.com/citation-style-language/schema/raw/master/csl-citation.json"} </w:instrText>
      </w:r>
      <w:r>
        <w:fldChar w:fldCharType="separate"/>
      </w:r>
      <w:r w:rsidRPr="00BF36FC">
        <w:rPr>
          <w:rFonts w:ascii="Times New Roman" w:hAnsi="Times New Roman" w:cs="Times New Roman"/>
          <w:sz w:val="20"/>
        </w:rPr>
        <w:t>(</w:t>
      </w:r>
      <w:proofErr w:type="spellStart"/>
      <w:r w:rsidRPr="00BF36FC">
        <w:rPr>
          <w:rFonts w:ascii="Times New Roman" w:hAnsi="Times New Roman" w:cs="Times New Roman"/>
          <w:sz w:val="20"/>
        </w:rPr>
        <w:t>Altuner</w:t>
      </w:r>
      <w:proofErr w:type="spellEnd"/>
      <w:r w:rsidRPr="00BF36FC">
        <w:rPr>
          <w:rFonts w:ascii="Times New Roman" w:hAnsi="Times New Roman" w:cs="Times New Roman"/>
          <w:sz w:val="20"/>
        </w:rPr>
        <w:t>, 2018)</w:t>
      </w:r>
      <w:r>
        <w:fldChar w:fldCharType="end"/>
      </w:r>
    </w:p>
    <w:p w14:paraId="6D9F6030" w14:textId="77777777" w:rsidR="00B8798D" w:rsidRDefault="00B8798D" w:rsidP="00B8798D">
      <w:pPr>
        <w:jc w:val="both"/>
      </w:pPr>
      <w:r w:rsidRPr="00514B0D">
        <w:lastRenderedPageBreak/>
        <w:t>Bu genel çerçeve, Antik Yunan’da nikâh hukuku ve aile düzeninde kadının çoğunlukla siyasî özne değil, soyun devamını ve mülkiyetin devrini temin eden bir araç olarak konumlandırıldığını; filozofların ideal toplum tasavvurlarında dahi kadının, belirleyici bir özne olarak değil, daha ziyade düzen ve erdem projesinin ikincil, uyması beklenen unsuru olarak görüldüğünü ortaya koymaktadır.</w:t>
      </w:r>
    </w:p>
    <w:p w14:paraId="163A09C6" w14:textId="77777777" w:rsidR="00B8798D" w:rsidRPr="009B19F5" w:rsidRDefault="00B8798D" w:rsidP="00B8798D">
      <w:pPr>
        <w:pStyle w:val="berschrift3"/>
      </w:pPr>
      <w:bookmarkStart w:id="3" w:name="_Toc219583131"/>
      <w:r w:rsidRPr="009B19F5">
        <w:t>Romalılarda Nikâh Hukuku ve Kadın</w:t>
      </w:r>
      <w:bookmarkEnd w:id="3"/>
    </w:p>
    <w:p w14:paraId="4B95BFFB" w14:textId="77777777" w:rsidR="00B8798D" w:rsidRDefault="00B8798D" w:rsidP="00B8798D">
      <w:pPr>
        <w:jc w:val="both"/>
      </w:pPr>
      <w:r w:rsidRPr="002D0099">
        <w:t>Roma hukukunda kadının konumu, tarihsel süreç içinde </w:t>
      </w:r>
      <w:proofErr w:type="spellStart"/>
      <w:r w:rsidRPr="002D0099">
        <w:rPr>
          <w:i/>
          <w:iCs/>
        </w:rPr>
        <w:t>manus</w:t>
      </w:r>
      <w:proofErr w:type="spellEnd"/>
      <w:r w:rsidRPr="002D0099">
        <w:t xml:space="preserve"> (kocanın veya </w:t>
      </w:r>
      <w:proofErr w:type="spellStart"/>
      <w:r w:rsidRPr="002D0099">
        <w:t>babasinin</w:t>
      </w:r>
      <w:proofErr w:type="spellEnd"/>
      <w:r w:rsidRPr="002D0099">
        <w:t xml:space="preserve"> egemenliği) altındaki sıkı ataerkil yapından, özellikle imparatorluk döneminde önemli ölçüde hukuksal bağımsızlığa doğru evrilmiştir. Geleneksel </w:t>
      </w:r>
      <w:proofErr w:type="spellStart"/>
      <w:r w:rsidRPr="002D0099">
        <w:rPr>
          <w:i/>
          <w:iCs/>
        </w:rPr>
        <w:t>manus</w:t>
      </w:r>
      <w:r w:rsidRPr="002D0099">
        <w:t>’lu</w:t>
      </w:r>
      <w:proofErr w:type="spellEnd"/>
      <w:r w:rsidRPr="002D0099">
        <w:t xml:space="preserve"> evliliklerde kadın, kocasının aile yapısı içine hukuken “kız evlat” statüsüyle dahil olur, malvarlığı ve hak ehliyeti üzerinde bağımsız tasarruf imkânını kaybe</w:t>
      </w:r>
      <w:r>
        <w:t>tmekteydi</w:t>
      </w:r>
      <w:r w:rsidRPr="002D0099">
        <w:t>. Roma hukukunda evlilik, şekle sıkı sıkıya bağlı resmî bir sözleşmeden ziyade, tarafların bir ömür boyu birlikte yaşama iradesini ifade eden </w:t>
      </w:r>
      <w:proofErr w:type="spellStart"/>
      <w:r w:rsidRPr="002D0099">
        <w:rPr>
          <w:i/>
          <w:iCs/>
        </w:rPr>
        <w:t>affectio</w:t>
      </w:r>
      <w:proofErr w:type="spellEnd"/>
      <w:r w:rsidRPr="002D0099">
        <w:rPr>
          <w:i/>
          <w:iCs/>
        </w:rPr>
        <w:t xml:space="preserve"> </w:t>
      </w:r>
      <w:proofErr w:type="spellStart"/>
      <w:r w:rsidRPr="002D0099">
        <w:rPr>
          <w:i/>
          <w:iCs/>
        </w:rPr>
        <w:t>maritalis</w:t>
      </w:r>
      <w:r w:rsidRPr="002D0099">
        <w:t>e</w:t>
      </w:r>
      <w:proofErr w:type="spellEnd"/>
      <w:r w:rsidRPr="002D0099">
        <w:t xml:space="preserve"> ve Roma toplumunda katı biçimde korunan tek eşlilik (monogami) ilkesine dayalı, “bütün bir hayat ortaklığı” olarak tanımlanmıştır.</w:t>
      </w:r>
      <w:r>
        <w:t xml:space="preserve"> </w:t>
      </w:r>
      <w:r>
        <w:fldChar w:fldCharType="begin"/>
      </w:r>
      <w:r>
        <w:instrText xml:space="preserve"> ADDIN ZOTERO_ITEM CSL_CITATION {"citationID":"zySqlSi4","properties":{"formattedCitation":"(Haluk, 2001)","plainCitation":"(Haluk, 2001)","noteIndex":0},"citationItems":[{"id":837,"uris":["http://zotero.org/users/19130126/items/2EMMVCDS"],"itemData":{"id":837,"type":"article-journal","container-title":"Ankara Üniversitesi Hukuk Fakültesi Dergisi","DOI":"10.1501/Hukfak_0000000588","ISSN":"1301-1308","issue":"3","language":"tr","page":"1","source":"DOI.org (Crossref)","title":"ROMA KLASİK HUKUK DÖNEMİ'NDE MAL REJİMİ","volume":"50","author":[{"family":"Haluk","given":"Emi̇Roğlu"}],"issued":{"date-parts":[["2001"]]}}}],"schema":"https://github.com/citation-style-language/schema/raw/master/csl-citation.json"} </w:instrText>
      </w:r>
      <w:r>
        <w:fldChar w:fldCharType="separate"/>
      </w:r>
      <w:r w:rsidRPr="00BF36FC">
        <w:rPr>
          <w:rFonts w:ascii="Times New Roman" w:hAnsi="Times New Roman" w:cs="Times New Roman"/>
        </w:rPr>
        <w:t>(Haluk, 2001)</w:t>
      </w:r>
      <w:r>
        <w:fldChar w:fldCharType="end"/>
      </w:r>
    </w:p>
    <w:p w14:paraId="4AF2CBDC" w14:textId="77777777" w:rsidR="00B8798D" w:rsidRPr="007D5409" w:rsidRDefault="00B8798D" w:rsidP="00B8798D">
      <w:pPr>
        <w:pStyle w:val="berschrift3"/>
      </w:pPr>
      <w:bookmarkStart w:id="4" w:name="_Toc219583132"/>
      <w:r w:rsidRPr="009B19F5">
        <w:t>Yahudilikte Nikâh Hukuku ve Kadın</w:t>
      </w:r>
      <w:bookmarkEnd w:id="4"/>
    </w:p>
    <w:p w14:paraId="5F83A24B" w14:textId="77777777" w:rsidR="00B8798D" w:rsidRPr="005377FA" w:rsidRDefault="00B8798D" w:rsidP="00B8798D">
      <w:pPr>
        <w:jc w:val="both"/>
      </w:pPr>
      <w:r w:rsidRPr="005377FA">
        <w:t xml:space="preserve">Yahudi düşüncesinde insan, “Tanrı’nın </w:t>
      </w:r>
      <w:proofErr w:type="spellStart"/>
      <w:r w:rsidRPr="005377FA">
        <w:t>sûretinde</w:t>
      </w:r>
      <w:proofErr w:type="spellEnd"/>
      <w:r w:rsidRPr="005377FA">
        <w:t xml:space="preserve">” yaratılmış kabul edilir; </w:t>
      </w:r>
      <w:proofErr w:type="spellStart"/>
      <w:r w:rsidRPr="005377FA">
        <w:t>Tekvin’in</w:t>
      </w:r>
      <w:proofErr w:type="spellEnd"/>
      <w:r w:rsidRPr="005377FA">
        <w:t xml:space="preserve"> ilk yaratılış anlatısında erkek ve kadın birlikte, Tanrı’nın suretini taşıyan varlıklar olarak zikredilir ve bu, yaratılış itibariyle cinsiyetler arasında aslî bir eşitliğe işaret eden bir okuma imkânı sunar. Buna karşılık ikinci anlatıda Havva’nın yasak meyveyi yiyip Adem’e de yedirmesi sebebiyle “ilk </w:t>
      </w:r>
      <w:proofErr w:type="spellStart"/>
      <w:r w:rsidRPr="005377FA">
        <w:t>günah”ın</w:t>
      </w:r>
      <w:proofErr w:type="spellEnd"/>
      <w:r w:rsidRPr="005377FA">
        <w:t xml:space="preserve"> başlatıcısı olarak görülmesi ve Tekvin 3:16’da kadına doğum sancısının artırılması, erkeğe karşı arzulu ve onun hükmü altında kalacağına dair ifadeler, erken Yahudi yorumlarında kadının günah, lanet ve itaat yüküyle özdeşleştirilmesine zemin hazırlamış; böylece yaratılıştaki eşitlik vurgusu ile düşüş sonrası hiyerarşi ve lanet söylemi arasında gerilimli bir insan anlayışı ortaya çıkmıştır.</w:t>
      </w:r>
      <w:r>
        <w:fldChar w:fldCharType="begin"/>
      </w:r>
      <w:r>
        <w:instrText xml:space="preserve"> ADDIN ZOTERO_ITEM CSL_CITATION {"citationID":"iGmAAL32","properties":{"unsorted":false,"formattedCitation":"(Akyol, 2024; Hi\\uc0\\u775{}\\uc0\\u231{}yilmaz, 2023)","plainCitation":"(Akyol, 2024; Hi̇çyilmaz, 2023)","noteIndex":0},"citationItems":[{"id":844,"uris":["http://zotero.org/users/19130126/items/FFE9PKVR"],"itemData":{"id":844,"type":"article-journal","abstract":"The marginalization of women throughout history has been an important research topic in various academic disciplines. It is noteworthy that the marginalization, which is based on social, cultural, and biological factors, particularly uses religious beliefs as a reference point. This marginalization is observed in nearly all religions, exhibiting differences in proportion and context. In this regard, striking examples of the marginalization of women can be found in the Jewish tradition, particularly concerning creation, the fall from grace, beliefs, worship, education, and family life. The marginalization of women within the Jewish tradition is discussed in the context of the institution of marriage and the status of women in cases of divorce. The lack of a voice for women during marriage and divorce processes, the greater importance placed on male children, and the exclusion of female children from Torah education underscore women's secondary position in the family. Additionally, humiliating attitudes during menstruation and the confinement of motherhood to household duties, along with practices such as the get document and levirate marriage, are other significant aspects of the marginalization of women in Jewish tradition. In light of these issues, it can be concluded that in the Jewish tradition, women occupy a secondary status compared to men, lack a voice, and are marginalized under the pretext of being exempted from religious duties and responsibilities to allow them to spend more time with their homes and children.","container-title":"History of Religions","language":"tr","source":"Zotero","title":"Yahudi Geleneği Perspektifinden Kadının Ailedeki Statüsü","author":[{"family":"Akyol","given":"Meryem ŞAHİN"}],"issued":{"date-parts":[["2024"]]}}},{"id":853,"uris":["http://zotero.org/users/19130126/items/VW6HA48D"],"itemData":{"id":853,"type":"thesis","genre":"Yüksek Lisans Tezi","language":"tr","publisher":"Pamukkale üniversitesi","publisher-place":"Denizli","source":"Zotero","title":"YAHUDİLİK’TE AİLE VE KADIN","author":[{"family":"Hi̇çyilmaz","given":"Muhammed İsmail"}],"issued":{"date-parts":[["2023"]]}}}],"schema":"https://github.com/citation-style-language/schema/raw/master/csl-citation.json"} </w:instrText>
      </w:r>
      <w:r>
        <w:fldChar w:fldCharType="separate"/>
      </w:r>
      <w:r w:rsidRPr="006D3BF1">
        <w:rPr>
          <w:rFonts w:ascii="Times New Roman" w:hAnsi="Times New Roman" w:cs="Times New Roman"/>
          <w:kern w:val="0"/>
        </w:rPr>
        <w:t xml:space="preserve">(Akyol, 2024; </w:t>
      </w:r>
      <w:proofErr w:type="spellStart"/>
      <w:r w:rsidRPr="006D3BF1">
        <w:rPr>
          <w:rFonts w:ascii="Times New Roman" w:hAnsi="Times New Roman" w:cs="Times New Roman"/>
          <w:kern w:val="0"/>
        </w:rPr>
        <w:t>Hi̇çyilmaz</w:t>
      </w:r>
      <w:proofErr w:type="spellEnd"/>
      <w:r w:rsidRPr="006D3BF1">
        <w:rPr>
          <w:rFonts w:ascii="Times New Roman" w:hAnsi="Times New Roman" w:cs="Times New Roman"/>
          <w:kern w:val="0"/>
        </w:rPr>
        <w:t>, 2023)</w:t>
      </w:r>
      <w:r>
        <w:fldChar w:fldCharType="end"/>
      </w:r>
    </w:p>
    <w:p w14:paraId="57F5FC40" w14:textId="77777777" w:rsidR="00B8798D" w:rsidRDefault="00B8798D" w:rsidP="00B8798D">
      <w:pPr>
        <w:jc w:val="both"/>
      </w:pPr>
    </w:p>
    <w:p w14:paraId="12DAF766" w14:textId="3B47A956" w:rsidR="00B8798D" w:rsidRPr="007D5409" w:rsidRDefault="00B8798D" w:rsidP="00B8798D">
      <w:pPr>
        <w:jc w:val="both"/>
      </w:pPr>
      <w:r w:rsidRPr="007D5409">
        <w:t xml:space="preserve">Yahudi geleneğinde aile, dinî cemaatin temel birimi olarak büyük önem taşır ve soyun devamında erkek çocuklar merkezi konumdadır; bu vurgu, hem “seçilmiş kavim” bilinci hem de aile ekonomisinin güçlenmesi bağlamında tarihsel olarak çokevliliğe kapı aralamıştır. </w:t>
      </w:r>
      <w:r>
        <w:fldChar w:fldCharType="begin"/>
      </w:r>
      <w:r w:rsidR="000F0890">
        <w:instrText xml:space="preserve"> ADDIN ZOTERO_ITEM CSL_CITATION {"citationID":"W7VJgZAf","properties":{"unsorted":false,"formattedCitation":"({\\i{}A\\uc0\\u304{}LE}, t.y.-a)","plainCitation":"(AİLE, t.y.-a)","dontUpdate":true,"noteIndex":0},"citationItems":[{"id":854,"uris":["http://zotero.org/users/19130126/items/RPWRN2HN"],"itemData":{"id":854,"type":"webpage","abstract":"Akrabalık ilişkisiyle birbirlerine bağlanan fertlerin bir araya getirdiği topluluk.","container-title":"TDV İslâm Ansiklopedisi","language":"tr","title":"AİLE","URL":"https://islamansiklopedisi.org.tr/aile","accessed":{"date-parts":[["2026",5,8]]}}}],"schema":"https://github.com/citation-style-language/schema/raw/master/csl-citation.json"} </w:instrText>
      </w:r>
      <w:r>
        <w:fldChar w:fldCharType="separate"/>
      </w:r>
      <w:r w:rsidRPr="0089378E">
        <w:rPr>
          <w:rFonts w:ascii="Times New Roman" w:hAnsi="Times New Roman" w:cs="Times New Roman"/>
          <w:kern w:val="0"/>
        </w:rPr>
        <w:t>(</w:t>
      </w:r>
      <w:r w:rsidRPr="0089378E">
        <w:rPr>
          <w:rFonts w:ascii="Times New Roman" w:hAnsi="Times New Roman" w:cs="Times New Roman"/>
          <w:i/>
          <w:iCs/>
          <w:kern w:val="0"/>
        </w:rPr>
        <w:t>AİLE</w:t>
      </w:r>
      <w:r w:rsidRPr="0089378E">
        <w:rPr>
          <w:rFonts w:ascii="Times New Roman" w:hAnsi="Times New Roman" w:cs="Times New Roman"/>
          <w:kern w:val="0"/>
        </w:rPr>
        <w:t xml:space="preserve">, </w:t>
      </w:r>
      <w:proofErr w:type="spellStart"/>
      <w:r w:rsidRPr="0089378E">
        <w:rPr>
          <w:rFonts w:ascii="Times New Roman" w:hAnsi="Times New Roman" w:cs="Times New Roman"/>
          <w:kern w:val="0"/>
        </w:rPr>
        <w:t>t.y</w:t>
      </w:r>
      <w:proofErr w:type="spellEnd"/>
      <w:r w:rsidRPr="0089378E">
        <w:rPr>
          <w:rFonts w:ascii="Times New Roman" w:hAnsi="Times New Roman" w:cs="Times New Roman"/>
          <w:kern w:val="0"/>
        </w:rPr>
        <w:t>.)</w:t>
      </w:r>
      <w:r>
        <w:fldChar w:fldCharType="end"/>
      </w:r>
      <w:r>
        <w:t xml:space="preserve"> </w:t>
      </w:r>
      <w:r w:rsidRPr="007D5409">
        <w:t xml:space="preserve">Ailenin reisi konumundaki baba, karısı ve çocukları üzerinde güçlü bir otoriteye sahiptir; bu otorite, bir yandan yaratılış ve düşüş </w:t>
      </w:r>
      <w:r w:rsidRPr="007D5409">
        <w:lastRenderedPageBreak/>
        <w:t xml:space="preserve">anlatılarında Havva’nın itaatsizliği üzerinden kadın aleyhine geliştirilen teolojik okumalarla, diğer yandan </w:t>
      </w:r>
      <w:proofErr w:type="spellStart"/>
      <w:r w:rsidRPr="007D5409">
        <w:t>hayız</w:t>
      </w:r>
      <w:proofErr w:type="spellEnd"/>
      <w:r w:rsidRPr="007D5409">
        <w:t xml:space="preserve"> hâlindeki kadını “</w:t>
      </w:r>
      <w:proofErr w:type="spellStart"/>
      <w:r w:rsidRPr="007D5409">
        <w:t>necis</w:t>
      </w:r>
      <w:proofErr w:type="spellEnd"/>
      <w:r w:rsidRPr="007D5409">
        <w:t xml:space="preserve">” kılan </w:t>
      </w:r>
      <w:proofErr w:type="spellStart"/>
      <w:r w:rsidRPr="007D5409">
        <w:t>niddah</w:t>
      </w:r>
      <w:proofErr w:type="spellEnd"/>
      <w:r>
        <w:rPr>
          <w:rStyle w:val="Funotenzeichen"/>
        </w:rPr>
        <w:footnoteReference w:id="1"/>
      </w:r>
      <w:r w:rsidRPr="007D5409">
        <w:t xml:space="preserve"> hükümleriyle desteklenmiştir.</w:t>
      </w:r>
      <w:r w:rsidRPr="00812B3D">
        <w:t xml:space="preserve"> </w:t>
      </w:r>
      <w:r w:rsidRPr="007D5409">
        <w:t xml:space="preserve">Bu çerçevede, </w:t>
      </w:r>
      <w:proofErr w:type="spellStart"/>
      <w:r w:rsidRPr="007D5409">
        <w:t>hayızlı</w:t>
      </w:r>
      <w:proofErr w:type="spellEnd"/>
      <w:r w:rsidRPr="007D5409">
        <w:t xml:space="preserve"> kadınla cinsel ilişkinin yasaklanması ve dokunduğu nesnelerin </w:t>
      </w:r>
      <w:r>
        <w:t>hükmi</w:t>
      </w:r>
      <w:r w:rsidRPr="007D5409">
        <w:t xml:space="preserve"> kirlilik kazanması, kadının bedeninin sürekli gözetim ve arınma pratiklerine konu edilmesine yol açmış;</w:t>
      </w:r>
      <w:r w:rsidRPr="00D1475A">
        <w:t xml:space="preserve"> </w:t>
      </w:r>
      <w:r>
        <w:fldChar w:fldCharType="begin"/>
      </w:r>
      <w:r>
        <w:instrText xml:space="preserve"> ADDIN ZOTERO_ITEM CSL_CITATION {"citationID":"P5ahn0yp","properties":{"unsorted":false,"formattedCitation":"({\\i{}A\\uc0\\u304{}LE}, t.y.-b; {\\i{}HAYIZ}, t.y.)","plainCitation":"(AİLE, t.y.-b; HAYIZ, t.y.)","noteIndex":0},"citationItems":[{"id":842,"uris":["http://zotero.org/users/19130126/items/9YD42T4H"],"itemData":{"id":842,"type":"webpage","abstract":"Akrabalık ilişkisiyle birbirlerine bağlanan fertlerin bir araya getirdiği topluluk.","container-title":"TDV İslâm Ansiklopedisi","language":"tr","title":"AİLE","URL":"https://islamansiklopedisi.org.tr/aile","accessed":{"date-parts":[["2026",5,8]]}}},{"id":841,"uris":["http://zotero.org/users/19130126/items/8GYJMIH4"],"itemData":{"id":841,"type":"webpage","abstract":"Kadının döl yolundan belirli sürelerle gelen ve bazı ibadetlerin ifasına engel teşkil eden kan anlamında fıkıh terimi.","container-title":"TDV İslâm Ansiklopedisi","language":"tr","title":"HAYIZ","URL":"https://islamansiklopedisi.org.tr/hayiz","accessed":{"date-parts":[["2026",5,8]]}}}],"schema":"https://github.com/citation-style-language/schema/raw/master/csl-citation.json"} </w:instrText>
      </w:r>
      <w:r>
        <w:fldChar w:fldCharType="separate"/>
      </w:r>
      <w:r w:rsidRPr="0089378E">
        <w:rPr>
          <w:rFonts w:ascii="Times New Roman" w:hAnsi="Times New Roman" w:cs="Times New Roman"/>
          <w:kern w:val="0"/>
        </w:rPr>
        <w:t>(</w:t>
      </w:r>
      <w:r w:rsidRPr="0089378E">
        <w:rPr>
          <w:rFonts w:ascii="Times New Roman" w:hAnsi="Times New Roman" w:cs="Times New Roman"/>
          <w:i/>
          <w:iCs/>
          <w:kern w:val="0"/>
        </w:rPr>
        <w:t>AİLE</w:t>
      </w:r>
      <w:r w:rsidRPr="0089378E">
        <w:rPr>
          <w:rFonts w:ascii="Times New Roman" w:hAnsi="Times New Roman" w:cs="Times New Roman"/>
          <w:kern w:val="0"/>
        </w:rPr>
        <w:t xml:space="preserve">, </w:t>
      </w:r>
      <w:proofErr w:type="spellStart"/>
      <w:r w:rsidRPr="0089378E">
        <w:rPr>
          <w:rFonts w:ascii="Times New Roman" w:hAnsi="Times New Roman" w:cs="Times New Roman"/>
          <w:kern w:val="0"/>
        </w:rPr>
        <w:t>t.y</w:t>
      </w:r>
      <w:proofErr w:type="spellEnd"/>
      <w:r w:rsidRPr="0089378E">
        <w:rPr>
          <w:rFonts w:ascii="Times New Roman" w:hAnsi="Times New Roman" w:cs="Times New Roman"/>
          <w:kern w:val="0"/>
        </w:rPr>
        <w:t xml:space="preserve">.-b; </w:t>
      </w:r>
      <w:r w:rsidRPr="0089378E">
        <w:rPr>
          <w:rFonts w:ascii="Times New Roman" w:hAnsi="Times New Roman" w:cs="Times New Roman"/>
          <w:i/>
          <w:iCs/>
          <w:kern w:val="0"/>
        </w:rPr>
        <w:t>HAYIZ</w:t>
      </w:r>
      <w:r w:rsidRPr="0089378E">
        <w:rPr>
          <w:rFonts w:ascii="Times New Roman" w:hAnsi="Times New Roman" w:cs="Times New Roman"/>
          <w:kern w:val="0"/>
        </w:rPr>
        <w:t xml:space="preserve">, </w:t>
      </w:r>
      <w:proofErr w:type="spellStart"/>
      <w:r w:rsidRPr="0089378E">
        <w:rPr>
          <w:rFonts w:ascii="Times New Roman" w:hAnsi="Times New Roman" w:cs="Times New Roman"/>
          <w:kern w:val="0"/>
        </w:rPr>
        <w:t>t.y</w:t>
      </w:r>
      <w:proofErr w:type="spellEnd"/>
      <w:r w:rsidRPr="0089378E">
        <w:rPr>
          <w:rFonts w:ascii="Times New Roman" w:hAnsi="Times New Roman" w:cs="Times New Roman"/>
          <w:kern w:val="0"/>
        </w:rPr>
        <w:t>.)</w:t>
      </w:r>
      <w:r>
        <w:fldChar w:fldCharType="end"/>
      </w:r>
      <w:r w:rsidRPr="007D5409">
        <w:t xml:space="preserve"> </w:t>
      </w:r>
      <w:r>
        <w:t xml:space="preserve">; </w:t>
      </w:r>
      <w:proofErr w:type="spellStart"/>
      <w:r w:rsidRPr="007D5409">
        <w:t>İbranice’de</w:t>
      </w:r>
      <w:proofErr w:type="spellEnd"/>
      <w:r w:rsidRPr="007D5409">
        <w:t xml:space="preserve"> hem “koca” hem “mal sahibi” anlamına gelen </w:t>
      </w:r>
      <w:proofErr w:type="spellStart"/>
      <w:r w:rsidRPr="007D5409">
        <w:rPr>
          <w:i/>
          <w:iCs/>
        </w:rPr>
        <w:t>ba‘al</w:t>
      </w:r>
      <w:proofErr w:type="spellEnd"/>
      <w:r w:rsidRPr="007D5409">
        <w:t xml:space="preserve"> kelimesi ile On Emir’de komşunun “evi, eşi, köleleri ve </w:t>
      </w:r>
      <w:proofErr w:type="spellStart"/>
      <w:r w:rsidRPr="007D5409">
        <w:t>malları”nın</w:t>
      </w:r>
      <w:proofErr w:type="spellEnd"/>
      <w:r w:rsidRPr="007D5409">
        <w:t xml:space="preserve"> aynı yasak kapsamı içinde zikredilmesi</w:t>
      </w:r>
      <w:r>
        <w:t xml:space="preserve"> (</w:t>
      </w:r>
      <w:r w:rsidRPr="00CC754E">
        <w:t>Çıkış, 20/</w:t>
      </w:r>
      <w:r>
        <w:t>17)</w:t>
      </w:r>
      <w:r w:rsidRPr="007D5409">
        <w:t xml:space="preserve">, kadının çoğu zaman erkeğin hane ve mülkiyet düzeni içinde konumlandırıldığını göstermiştir. </w:t>
      </w:r>
      <w:r>
        <w:fldChar w:fldCharType="begin"/>
      </w:r>
      <w:r>
        <w:instrText xml:space="preserve"> ADDIN ZOTERO_ITEM CSL_CITATION {"citationID":"F6BjaNed","properties":{"unsorted":false,"formattedCitation":"(Akyol, 2024)","plainCitation":"(Akyol, 2024)","noteIndex":0},"citationItems":[{"id":844,"uris":["http://zotero.org/users/19130126/items/FFE9PKVR"],"itemData":{"id":844,"type":"article-journal","abstract":"The marginalization of women throughout history has been an important research topic in various academic disciplines. It is noteworthy that the marginalization, which is based on social, cultural, and biological factors, particularly uses religious beliefs as a reference point. This marginalization is observed in nearly all religions, exhibiting differences in proportion and context. In this regard, striking examples of the marginalization of women can be found in the Jewish tradition, particularly concerning creation, the fall from grace, beliefs, worship, education, and family life. The marginalization of women within the Jewish tradition is discussed in the context of the institution of marriage and the status of women in cases of divorce. The lack of a voice for women during marriage and divorce processes, the greater importance placed on male children, and the exclusion of female children from Torah education underscore women's secondary position in the family. Additionally, humiliating attitudes during menstruation and the confinement of motherhood to household duties, along with practices such as the get document and levirate marriage, are other significant aspects of the marginalization of women in Jewish tradition. In light of these issues, it can be concluded that in the Jewish tradition, women occupy a secondary status compared to men, lack a voice, and are marginalized under the pretext of being exempted from religious duties and responsibilities to allow them to spend more time with their homes and children.","container-title":"History of Religions","language":"tr","source":"Zotero","title":"Yahudi Geleneği Perspektifinden Kadının Ailedeki Statüsü","author":[{"family":"Akyol","given":"Meryem ŞAHİN"}],"issued":{"date-parts":[["2024"]]}}}],"schema":"https://github.com/citation-style-language/schema/raw/master/csl-citation.json"} </w:instrText>
      </w:r>
      <w:r>
        <w:fldChar w:fldCharType="separate"/>
      </w:r>
      <w:r w:rsidRPr="00CF45AA">
        <w:rPr>
          <w:rFonts w:ascii="Times New Roman" w:hAnsi="Times New Roman" w:cs="Times New Roman"/>
        </w:rPr>
        <w:t>(Akyol, 2024)</w:t>
      </w:r>
      <w:r>
        <w:fldChar w:fldCharType="end"/>
      </w:r>
    </w:p>
    <w:p w14:paraId="7551B6DA" w14:textId="77777777" w:rsidR="00B8798D" w:rsidRPr="007D5409" w:rsidRDefault="00B8798D" w:rsidP="00B8798D">
      <w:pPr>
        <w:jc w:val="both"/>
      </w:pPr>
      <w:r w:rsidRPr="007D5409">
        <w:t>Yaratılış kıssasında kadının erkeğin “yardımcısı” olarak Âdem’in kaburga kemiğinden yaratıldığı anlatısı</w:t>
      </w:r>
      <w:r>
        <w:t xml:space="preserve"> (</w:t>
      </w:r>
      <w:proofErr w:type="spellStart"/>
      <w:r w:rsidRPr="00961369">
        <w:t>Tekvîn</w:t>
      </w:r>
      <w:proofErr w:type="spellEnd"/>
      <w:r w:rsidRPr="00961369">
        <w:t>, 2/18-23</w:t>
      </w:r>
      <w:r>
        <w:t>)</w:t>
      </w:r>
      <w:r w:rsidRPr="007D5409">
        <w:t xml:space="preserve">, geleneksel yorumlarda kadının varlık sebebinin erkeğin yalnızlığını gidermek ve nesli sürdürmek olduğu yönünde okunmuş; bu da kadının temel görevinin çocuk doğurmak </w:t>
      </w:r>
      <w:r>
        <w:t>(</w:t>
      </w:r>
      <w:proofErr w:type="spellStart"/>
      <w:r w:rsidRPr="00B477C3">
        <w:t>Tekvîn</w:t>
      </w:r>
      <w:proofErr w:type="spellEnd"/>
      <w:r w:rsidRPr="00B477C3">
        <w:t>, 3/16</w:t>
      </w:r>
      <w:r>
        <w:t xml:space="preserve">) </w:t>
      </w:r>
      <w:r w:rsidRPr="007D5409">
        <w:t xml:space="preserve">ve ev içi işleri yerine getirmek olduğu yönündeki algıyı pekiştirmiştir. Rabbanî literatürde kadınlar, özellikle zamanla sınırlı bazı olumlu </w:t>
      </w:r>
      <w:proofErr w:type="spellStart"/>
      <w:r w:rsidRPr="007D5409">
        <w:t>mitsvalardan</w:t>
      </w:r>
      <w:proofErr w:type="spellEnd"/>
      <w:r w:rsidRPr="007D5409">
        <w:t xml:space="preserve"> muaf tutularak, kamusal-dinî yükümlülüklerden ziyade aile içi rollere yönlendirilmiş; bu durum, pratikte kadının dinî-sosyal görünürlüğünü sınırlayan bir fonksiyon icra etmiştir. </w:t>
      </w:r>
      <w:r>
        <w:fldChar w:fldCharType="begin"/>
      </w:r>
      <w:r>
        <w:instrText xml:space="preserve"> ADDIN ZOTERO_ITEM CSL_CITATION {"citationID":"hhpN6qJL","properties":{"unsorted":false,"formattedCitation":"(\\uc0\\u304{}cten, 2026)","plainCitation":"(İcten, 2026)","noteIndex":0},"citationItems":[{"id":846,"uris":["http://zotero.org/users/19130126/items/NTHLG5ZU"],"itemData":{"id":846,"type":"article-journal","abstract":"The position of women in Judaism has been one of the most debated areas in both religious and social contexts throughout history. The Talmud has occupied a particularly important place in these discussions. The Talmud is the written form of the Jewish oral tradition, which was compiled by Babylonian and Palestinian rabbis from the early Middle Ages onwards. This corpus, which contains provisions on almost every aspect of life, also draws attention for its regulations concerning women. The rabbis were decisive in shaping Rabbinic Judaism; the social, religious and familial role of women was largely shaped by their interpretations. In a maledominated society, the place of women was redefined within the framework of Judaism, and the jurisprudence of the rabbis became normative over time. From birth to death, from marriage to divorce and from domestic relations to religious life, the Talmud has determined the life course of women, and a unique lifestyle has emerged in this direction. The Talmud's regulations on women were not only limited to individual lives, but also became one of the cornerstones of the Jewish social structure.","container-title":"Gumushane Universitesi Ilahiyat Fakultesi Dergisi (GIFAD)","DOI":"10.53683/gifad.1766268","ISSN":"2146-7900","issue":"29","language":"tr","page":"162-184","source":"DOI.org (Crossref)","title":"Rabbânî Yahudilikte Kadın","volume":"15","author":[{"family":"İcten","given":"Erdinc"}],"issued":{"date-parts":[["2026",1,15]]}}}],"schema":"https://github.com/citation-style-language/schema/raw/master/csl-citation.json"} </w:instrText>
      </w:r>
      <w:r>
        <w:fldChar w:fldCharType="separate"/>
      </w:r>
      <w:r w:rsidRPr="004C7E4B">
        <w:rPr>
          <w:rFonts w:ascii="Times New Roman" w:hAnsi="Times New Roman" w:cs="Times New Roman"/>
          <w:kern w:val="0"/>
        </w:rPr>
        <w:t>(</w:t>
      </w:r>
      <w:proofErr w:type="spellStart"/>
      <w:r w:rsidRPr="004C7E4B">
        <w:rPr>
          <w:rFonts w:ascii="Times New Roman" w:hAnsi="Times New Roman" w:cs="Times New Roman"/>
          <w:kern w:val="0"/>
        </w:rPr>
        <w:t>İcten</w:t>
      </w:r>
      <w:proofErr w:type="spellEnd"/>
      <w:r w:rsidRPr="004C7E4B">
        <w:rPr>
          <w:rFonts w:ascii="Times New Roman" w:hAnsi="Times New Roman" w:cs="Times New Roman"/>
          <w:kern w:val="0"/>
        </w:rPr>
        <w:t>, 2026)</w:t>
      </w:r>
      <w:r>
        <w:fldChar w:fldCharType="end"/>
      </w:r>
      <w:r>
        <w:t xml:space="preserve"> </w:t>
      </w:r>
      <w:r w:rsidRPr="007D5409">
        <w:t>Kendini “seçilmiş kavim” olarak gören Yahudi toplumsal zihniyetinde çoğalma emri büyük ağırlık taşımış, bekârlık hoş karşılanmamış ve kavmin devamına katkı sunmamak ağır bir sorumsuzluk, hatta günah olarak değerlendirilmiştir; bu nedenle farklı din mensuplarıyla evlilik çoğu zaman toplumsal ve dinî bir evlilik engeli olarak görülmüştür.</w:t>
      </w:r>
      <w:r>
        <w:fldChar w:fldCharType="begin"/>
      </w:r>
      <w:r>
        <w:instrText xml:space="preserve"> ADDIN ZOTERO_ITEM CSL_CITATION {"citationID":"9VKeTVZL","properties":{"unsorted":false,"formattedCitation":"(\\uc0\\u350{}ahi\\uc0\\u775{}n, 2016)","plainCitation":"(Şahi̇n, 2016)","noteIndex":0},"citationItems":[{"id":188,"uris":["http://zotero.org/users/19130126/items/XERZHRSF"],"itemData":{"id":188,"type":"article-journal","abstract":"Marriage institution is as old as humanity. Sometimes marriage institution has had various stages because of the communities which is changed, beliefs or according to customs and traditions. Perception of marriage that has the society is very important for the formation of marriage institution. Marriage perception, has structure that affected by society, geography, traditions and customs. To understand of the development stages of marriage institution we have to examine marriage institution and perception of marriage before the Pre-Islamic period. However, issue spread a large historical area and this study must be limited. Therefore, this study will handle perception of marriage according Judaism and Christianity which are close to time of the emergence of Islam.","container-title":"İslam Bilimleri Araştırmaları Dergisi","issue":"2","language":"tr","page":"118-147","publisher-place":"Samsun","source":"Zotero","title":"İslâmiyet Öncesi Dönemde Yahûdi Ve Hıristiyanlarda Nikâh Algısı","author":[{"family":"Şahi̇n","given":"Hasan"}],"issued":{"date-parts":[["2016"]]}}}],"schema":"https://github.com/citation-style-language/schema/raw/master/csl-citation.json"} </w:instrText>
      </w:r>
      <w:r>
        <w:fldChar w:fldCharType="separate"/>
      </w:r>
      <w:r w:rsidRPr="00CF46D9">
        <w:rPr>
          <w:rFonts w:ascii="Times New Roman" w:hAnsi="Times New Roman" w:cs="Times New Roman"/>
          <w:kern w:val="0"/>
        </w:rPr>
        <w:t>(</w:t>
      </w:r>
      <w:proofErr w:type="spellStart"/>
      <w:r w:rsidRPr="00CF46D9">
        <w:rPr>
          <w:rFonts w:ascii="Times New Roman" w:hAnsi="Times New Roman" w:cs="Times New Roman"/>
          <w:kern w:val="0"/>
        </w:rPr>
        <w:t>Şahi̇n</w:t>
      </w:r>
      <w:proofErr w:type="spellEnd"/>
      <w:r w:rsidRPr="00CF46D9">
        <w:rPr>
          <w:rFonts w:ascii="Times New Roman" w:hAnsi="Times New Roman" w:cs="Times New Roman"/>
          <w:kern w:val="0"/>
        </w:rPr>
        <w:t>, 2016)</w:t>
      </w:r>
      <w:r>
        <w:fldChar w:fldCharType="end"/>
      </w:r>
    </w:p>
    <w:p w14:paraId="5AE0CF3E" w14:textId="77777777" w:rsidR="00B8798D" w:rsidRPr="007D5409" w:rsidRDefault="00B8798D" w:rsidP="00B8798D">
      <w:pPr>
        <w:jc w:val="both"/>
      </w:pPr>
      <w:r w:rsidRPr="007D5409">
        <w:t>Yahudilikte nikâh akdi, İslâm’dakine benzer şekilde en az iki şahidin huzurunda icra edilmekte; hahamın gelin ve damadı uygun görmemesi hâlinde nikâha izin vermeme yetkisi bulunmakta, böylece dinî otorite evlilik üzerinde belirleyici bir rol oynamaktadır.</w:t>
      </w:r>
      <w:r>
        <w:fldChar w:fldCharType="begin"/>
      </w:r>
      <w:r>
        <w:instrText xml:space="preserve"> ADDIN ZOTERO_ITEM CSL_CITATION {"citationID":"xwKHWJwV","properties":{"unsorted":false,"formattedCitation":"(\\uc0\\u350{}ahi\\uc0\\u775{}n, 2016)","plainCitation":"(Şahi̇n, 2016)","noteIndex":0},"citationItems":[{"id":188,"uris":["http://zotero.org/users/19130126/items/XERZHRSF"],"itemData":{"id":188,"type":"article-journal","abstract":"Marriage institution is as old as humanity. Sometimes marriage institution has had various stages because of the communities which is changed, beliefs or according to customs and traditions. Perception of marriage that has the society is very important for the formation of marriage institution. Marriage perception, has structure that affected by society, geography, traditions and customs. To understand of the development stages of marriage institution we have to examine marriage institution and perception of marriage before the Pre-Islamic period. However, issue spread a large historical area and this study must be limited. Therefore, this study will handle perception of marriage according Judaism and Christianity which are close to time of the emergence of Islam.","container-title":"İslam Bilimleri Araştırmaları Dergisi","issue":"2","language":"tr","page":"118-147","publisher-place":"Samsun","source":"Zotero","title":"İslâmiyet Öncesi Dönemde Yahûdi Ve Hıristiyanlarda Nikâh Algısı","author":[{"family":"Şahi̇n","given":"Hasan"}],"issued":{"date-parts":[["2016"]]}}}],"schema":"https://github.com/citation-style-language/schema/raw/master/csl-citation.json"} </w:instrText>
      </w:r>
      <w:r>
        <w:fldChar w:fldCharType="separate"/>
      </w:r>
      <w:r w:rsidRPr="00CF46D9">
        <w:rPr>
          <w:rFonts w:ascii="Times New Roman" w:hAnsi="Times New Roman" w:cs="Times New Roman"/>
          <w:kern w:val="0"/>
        </w:rPr>
        <w:t>(</w:t>
      </w:r>
      <w:proofErr w:type="spellStart"/>
      <w:r w:rsidRPr="00CF46D9">
        <w:rPr>
          <w:rFonts w:ascii="Times New Roman" w:hAnsi="Times New Roman" w:cs="Times New Roman"/>
          <w:kern w:val="0"/>
        </w:rPr>
        <w:t>Şahi̇n</w:t>
      </w:r>
      <w:proofErr w:type="spellEnd"/>
      <w:r w:rsidRPr="00CF46D9">
        <w:rPr>
          <w:rFonts w:ascii="Times New Roman" w:hAnsi="Times New Roman" w:cs="Times New Roman"/>
          <w:kern w:val="0"/>
        </w:rPr>
        <w:t>, 2016)</w:t>
      </w:r>
      <w:r>
        <w:fldChar w:fldCharType="end"/>
      </w:r>
      <w:r w:rsidRPr="007D5409">
        <w:t xml:space="preserve"> Evlilikte kıza babası tarafından verilen çeyiz, çoğu zaman onun miras payı mahiyetinde kabul edilmiş; erkek çocukların bulunduğu ailelerde miras öncelikle erkeklere intikal ederken, erkek varis bulunmadığında kızlar mirasçı olmakta, fakat ailenin mülkünün dışarı çıkmaması için kendilerine çoğu kez yakın akraba ile evlilik şart koşulmuştur. Erken dönem uygulamalarında damadın gelinin ailesine ödediği </w:t>
      </w:r>
      <w:proofErr w:type="spellStart"/>
      <w:r w:rsidRPr="007D5409">
        <w:rPr>
          <w:i/>
          <w:iCs/>
        </w:rPr>
        <w:t>mohar</w:t>
      </w:r>
      <w:proofErr w:type="spellEnd"/>
      <w:r w:rsidRPr="007D5409">
        <w:t xml:space="preserve"> türü bedel, daha sonra </w:t>
      </w:r>
      <w:proofErr w:type="spellStart"/>
      <w:r w:rsidRPr="007D5409">
        <w:t>ketuba</w:t>
      </w:r>
      <w:proofErr w:type="spellEnd"/>
      <w:r w:rsidRPr="007D5409">
        <w:t xml:space="preserve"> belgesiyle kadının boşanma veya dul kalma hâlinde alacağı maddî güvenceye dönüşmüş; böylece evlilikte ekonomik </w:t>
      </w:r>
      <w:r w:rsidRPr="007D5409">
        <w:lastRenderedPageBreak/>
        <w:t xml:space="preserve">yükümlülükler kısmen kadının lehine yazılı hâle getirilmiştir. </w:t>
      </w:r>
      <w:r>
        <w:fldChar w:fldCharType="begin"/>
      </w:r>
      <w:r>
        <w:instrText xml:space="preserve"> ADDIN ZOTERO_ITEM CSL_CITATION {"citationID":"hUVeMUYa","properties":{"unsorted":false,"formattedCitation":"(Ullah, 2018)","plainCitation":"(Ullah, 2018)","noteIndex":0},"citationItems":[{"id":848,"uris":["http://zotero.org/users/19130126/items/BKJMFJBL"],"itemData":{"id":848,"type":"thesis","abstract":"Danışman: Dr. Öğr. Üyesi Mahmut Salihoğlu, Felsefe ve Din Bilimleri Ana Bilim Dalı Dinler Tarihi Bilim Dalı,","archive_location":"TDV İslâm Araştırmaları Merkezi","genre":"Thesis","language":"Türkçe","license":"Her türlü telif hakkı İstanbul Üniversitesine aittir.","note":"volume: VIII, 60 y.","number-of-pages":"VIII, 60 y.","publisher":"İstanbul Üniversitesi","source":"kutuphane.isam.org.tr","title":"Yahudi Hukukunda Boşanma ve Aguna Problemi","URL":"https://kutuphane.isam.org.tr/detayilhtezt.php?navdil=eng&amp;tidno=21707","author":[{"family":"Ullah","given":"Neamat"}],"accessed":{"date-parts":[["2026",5,8]]},"issued":{"date-parts":[["2018"]]}}}],"schema":"https://github.com/citation-style-language/schema/raw/master/csl-citation.json"} </w:instrText>
      </w:r>
      <w:r>
        <w:fldChar w:fldCharType="separate"/>
      </w:r>
      <w:r w:rsidRPr="00E2046B">
        <w:rPr>
          <w:rFonts w:ascii="Times New Roman" w:hAnsi="Times New Roman" w:cs="Times New Roman"/>
        </w:rPr>
        <w:t>(</w:t>
      </w:r>
      <w:proofErr w:type="spellStart"/>
      <w:r w:rsidRPr="00E2046B">
        <w:rPr>
          <w:rFonts w:ascii="Times New Roman" w:hAnsi="Times New Roman" w:cs="Times New Roman"/>
        </w:rPr>
        <w:t>Ullah</w:t>
      </w:r>
      <w:proofErr w:type="spellEnd"/>
      <w:r w:rsidRPr="00E2046B">
        <w:rPr>
          <w:rFonts w:ascii="Times New Roman" w:hAnsi="Times New Roman" w:cs="Times New Roman"/>
        </w:rPr>
        <w:t>, 2018)</w:t>
      </w:r>
      <w:r>
        <w:fldChar w:fldCharType="end"/>
      </w:r>
      <w:r>
        <w:t xml:space="preserve"> </w:t>
      </w:r>
      <w:r w:rsidRPr="007D5409">
        <w:t xml:space="preserve">Boşanma ise </w:t>
      </w:r>
      <w:proofErr w:type="spellStart"/>
      <w:r w:rsidRPr="007D5409">
        <w:t>halakhik</w:t>
      </w:r>
      <w:proofErr w:type="spellEnd"/>
      <w:r w:rsidRPr="007D5409">
        <w:t xml:space="preserve"> çerçevede </w:t>
      </w:r>
      <w:proofErr w:type="spellStart"/>
      <w:r w:rsidRPr="007D5409">
        <w:rPr>
          <w:i/>
          <w:iCs/>
        </w:rPr>
        <w:t>get</w:t>
      </w:r>
      <w:proofErr w:type="spellEnd"/>
      <w:r w:rsidRPr="007D5409">
        <w:t xml:space="preserve"> adı verilen boşanma belgesiyle ve esasen erkeğin inisiyatifiyle gerçekleşmekte; farklı yorumlarla temellendirilmiş olsa </w:t>
      </w:r>
      <w:proofErr w:type="gramStart"/>
      <w:r w:rsidRPr="007D5409">
        <w:t>da,</w:t>
      </w:r>
      <w:proofErr w:type="gramEnd"/>
      <w:r w:rsidRPr="007D5409">
        <w:t xml:space="preserve"> evlilik birliğinin sona erdirilmesi Yahudi hukukunda meşru fakat sıkı şartlara bağlanmış bir imkân olarak kabul edilmektedir.</w:t>
      </w:r>
      <w:r w:rsidRPr="00576B63">
        <w:t xml:space="preserve"> </w:t>
      </w:r>
    </w:p>
    <w:p w14:paraId="7D7B55B6" w14:textId="77777777" w:rsidR="00B8798D" w:rsidRPr="00315395" w:rsidRDefault="00B8798D" w:rsidP="00B8798D">
      <w:pPr>
        <w:pStyle w:val="berschrift3"/>
      </w:pPr>
      <w:bookmarkStart w:id="5" w:name="_Toc219583133"/>
      <w:r w:rsidRPr="00315395">
        <w:t>Hristiyanlıkta Nikâh Hukuku ve Kadın</w:t>
      </w:r>
      <w:bookmarkEnd w:id="5"/>
    </w:p>
    <w:p w14:paraId="7F941F4C" w14:textId="77777777" w:rsidR="00B8798D" w:rsidRDefault="00B8798D" w:rsidP="00B8798D">
      <w:pPr>
        <w:jc w:val="both"/>
      </w:pPr>
      <w:r w:rsidRPr="00A07C56">
        <w:t>Hristiyanlıkta nikâh anlayışı, hem ilk Hristiyan toplulukların içinde doğduğu Yunan–Roma hukuk ve aile kültüründen hem de Yahudi dinî-hukukî mirasından güçlü biçimde etkilenmiştir.</w:t>
      </w:r>
    </w:p>
    <w:p w14:paraId="7081B44C" w14:textId="77777777" w:rsidR="00B8798D" w:rsidRDefault="00B8798D" w:rsidP="00B8798D">
      <w:pPr>
        <w:jc w:val="both"/>
      </w:pPr>
      <w:r w:rsidRPr="00F806A6">
        <w:t xml:space="preserve">Hristiyan geleneğinde kadın, yaratılış kıssasındaki “Âdem’in kaburgasından yaratılma” anlatısı ve Havva’nın “ilk günah” ile ilişkilendirilmesi üzerinden çoğu kez erkeğe tâbi, onun için yaratılmış bir varlık olarak yorumlanmış; </w:t>
      </w:r>
      <w:proofErr w:type="spellStart"/>
      <w:r w:rsidRPr="00F806A6">
        <w:t>patristik</w:t>
      </w:r>
      <w:proofErr w:type="spellEnd"/>
      <w:r w:rsidRPr="00F806A6">
        <w:t xml:space="preserve"> literatürde kadının günahın ve düşüşün başlatıcısı olarak sunulduğu sert ifadeler yaygınlık kazanmıştır. Bununla birlikte, özellikle Batı kilisesinde, klasik dönemde nikâhın geçerlilik şartları arasında tarafların rızası vurgulanmakla beraber, tarihsel uygulamada kız çocuğunun kiminle evleneceğine çoğu zaman ailesi karar vermiş, kadın rızası çoğu kez şekli bir onay düzeyinde kalmıştır. Pavlus’un evlilikten ziyade bekârlığı “daha faziletli” görmesi; zinaya düşmeyi önlemek için evliliği tavsiye ederken, imkân dâhilinde bekâr kalmayı üstün sayması da, erken Hristiyanlıkta bekârlığın </w:t>
      </w:r>
      <w:proofErr w:type="spellStart"/>
      <w:r w:rsidRPr="00F806A6">
        <w:t>ruhbanî</w:t>
      </w:r>
      <w:proofErr w:type="spellEnd"/>
      <w:r w:rsidRPr="00F806A6">
        <w:t xml:space="preserve"> ideallerle yüceltilmesine zemin hazırlamıştır.</w:t>
      </w:r>
      <w:r>
        <w:fldChar w:fldCharType="begin"/>
      </w:r>
      <w:r>
        <w:instrText xml:space="preserve"> ADDIN ZOTERO_ITEM CSL_CITATION {"citationID":"c0vibVRt","properties":{"unsorted":false,"formattedCitation":"(Buli\\uc0\\u231{}, 2017)","plainCitation":"(Buliç, 2017)","noteIndex":0},"citationItems":[{"id":856,"uris":["http://zotero.org/users/19130126/items/EAYLAIGY"],"itemData":{"id":856,"type":"thesis","abstract":"Bu çalışmada Hıristiyanlık’taki Eski ve Yeni Ahit metinleri ışığında evlilik müessesesini ele aldık. Çalışma alanımızı Eski Ahit, Yeni Ahit ve 5. Yüzyıla kadarki Kilise Babaları’nın eserleri ile sınırladık. Bu çerçevede yaptığımız çalışmamızda Hıristiyanlığın aile, evlilik, boşanma, birlikte yaşama, zina, eşcinsellik, karma evlilik ve evlenme engelleri gibi konuları üzerinde durduk. Çalışmamızda Pavlus’un Hıristiyanlık üzerindeki etkisini dikkate alarak onun evlilik konusundaki görüşlerine de ayrı bir başlık altında yer verdik.\nIn this study, marriage foundation has been evaluated in the light of Old and New Testaments. We have limited our study by The Old Testament, The New Testament and the works of the Church Fathers until the 5th Century Church Fathers. We have studied how Christianity sees family, , marriage, divorce, cohabitation, adultery, homosexuality, mixed marriages and barriers to marriage. We have highlighted the effect of Pavlus on Christian woman’s position and we have also underlined the place of man and woman in family and the status of woman in Christian faith.","genre":"M.Phil.","ISBN":"979-8-3816-4387-9","language":"Türkisch","license":"Database copyright ProQuest LLC; ProQuest does not claim copyright in the individual underlying works.","number-of-pages":"157","source":"ProQuest","title":"Hıristiyanlık'Taki Kutsal Metinler Işığında Evlilik","URL":"https://www.proquest.com/docview/2925402522/abstract/4A79E62C5C234CEFPQ/1","author":[{"family":"Buliç","given":"Mesut"}],"accessed":{"date-parts":[["2026",5,9]]},"issued":{"date-parts":[["2017"]]}}}],"schema":"https://github.com/citation-style-language/schema/raw/master/csl-citation.json"} </w:instrText>
      </w:r>
      <w:r>
        <w:fldChar w:fldCharType="separate"/>
      </w:r>
      <w:r w:rsidRPr="00D4617F">
        <w:rPr>
          <w:rFonts w:ascii="Times New Roman" w:hAnsi="Times New Roman" w:cs="Times New Roman"/>
          <w:kern w:val="0"/>
        </w:rPr>
        <w:t>(</w:t>
      </w:r>
      <w:proofErr w:type="spellStart"/>
      <w:r w:rsidRPr="00D4617F">
        <w:rPr>
          <w:rFonts w:ascii="Times New Roman" w:hAnsi="Times New Roman" w:cs="Times New Roman"/>
          <w:kern w:val="0"/>
        </w:rPr>
        <w:t>Buliç</w:t>
      </w:r>
      <w:proofErr w:type="spellEnd"/>
      <w:r w:rsidRPr="00D4617F">
        <w:rPr>
          <w:rFonts w:ascii="Times New Roman" w:hAnsi="Times New Roman" w:cs="Times New Roman"/>
          <w:kern w:val="0"/>
        </w:rPr>
        <w:t>, 2017)</w:t>
      </w:r>
      <w:r>
        <w:fldChar w:fldCharType="end"/>
      </w:r>
    </w:p>
    <w:p w14:paraId="3AEEB408" w14:textId="77777777" w:rsidR="00B8798D" w:rsidRDefault="00B8798D" w:rsidP="00B8798D">
      <w:pPr>
        <w:jc w:val="both"/>
      </w:pPr>
      <w:r w:rsidRPr="008A6CDB">
        <w:t>Diğer yandan, Hristiyanlıkta evlilik yalnızca neslin devamına hizmet eden bir kurum olarak değil, Tanrı huzurunda yapılan, tek eşliliği ve karşılıklı sadakati esas alan kutsal bir ahit</w:t>
      </w:r>
      <w:r>
        <w:t xml:space="preserve"> (</w:t>
      </w:r>
      <w:proofErr w:type="spellStart"/>
      <w:r w:rsidRPr="008A6CDB">
        <w:t>sakrament</w:t>
      </w:r>
      <w:proofErr w:type="spellEnd"/>
      <w:r>
        <w:t>)</w:t>
      </w:r>
      <w:r w:rsidRPr="008A6CDB">
        <w:t xml:space="preserve"> olarak görülmüş; bu yönüyle Yahudilikten daha belirgin bir dinî nitelik kazanmış ve ideal olarak iki Hristiyan arasında yapılması gerektiği savunulmuştur. İncillerde ve Pavlus mektuplarında yer alan hükümler doğrultusunda, cinsel sadakatsizlik (zina) dışında herhangi bir sebeple evliliğin bozulmasına genel olarak cevaz verilmemiş; boşanma ve özellikle boşanmış bir kadınla evlilik birçok kilise geleneğinde zina sayılarak kesin biçimde reddedilmiştir.</w:t>
      </w:r>
      <w:r w:rsidRPr="005D187F">
        <w:t xml:space="preserve"> </w:t>
      </w:r>
      <w:r>
        <w:fldChar w:fldCharType="begin"/>
      </w:r>
      <w:r>
        <w:instrText xml:space="preserve"> ADDIN ZOTERO_ITEM CSL_CITATION {"citationID":"MNvLcVJg","properties":{"unsorted":false,"formattedCitation":"(\\uc0\\u350{}ahi\\uc0\\u775{}n, 2016)","plainCitation":"(Şahi̇n, 2016)","noteIndex":0},"citationItems":[{"id":188,"uris":["http://zotero.org/users/19130126/items/XERZHRSF"],"itemData":{"id":188,"type":"article-journal","abstract":"Marriage institution is as old as humanity. Sometimes marriage institution has had various stages because of the communities which is changed, beliefs or according to customs and traditions. Perception of marriage that has the society is very important for the formation of marriage institution. Marriage perception, has structure that affected by society, geography, traditions and customs. To understand of the development stages of marriage institution we have to examine marriage institution and perception of marriage before the Pre-Islamic period. However, issue spread a large historical area and this study must be limited. Therefore, this study will handle perception of marriage according Judaism and Christianity which are close to time of the emergence of Islam.","container-title":"İslam Bilimleri Araştırmaları Dergisi","issue":"2","language":"tr","page":"118-147","publisher-place":"Samsun","source":"Zotero","title":"İslâmiyet Öncesi Dönemde Yahûdi Ve Hıristiyanlarda Nikâh Algısı","author":[{"family":"Şahi̇n","given":"Hasan"}],"issued":{"date-parts":[["2016"]]}}}],"schema":"https://github.com/citation-style-language/schema/raw/master/csl-citation.json"} </w:instrText>
      </w:r>
      <w:r>
        <w:fldChar w:fldCharType="separate"/>
      </w:r>
      <w:r w:rsidRPr="008969D5">
        <w:rPr>
          <w:rFonts w:ascii="Times New Roman" w:hAnsi="Times New Roman" w:cs="Times New Roman"/>
          <w:kern w:val="0"/>
        </w:rPr>
        <w:t>(</w:t>
      </w:r>
      <w:proofErr w:type="spellStart"/>
      <w:r w:rsidRPr="008969D5">
        <w:rPr>
          <w:rFonts w:ascii="Times New Roman" w:hAnsi="Times New Roman" w:cs="Times New Roman"/>
          <w:kern w:val="0"/>
        </w:rPr>
        <w:t>Şahi̇n</w:t>
      </w:r>
      <w:proofErr w:type="spellEnd"/>
      <w:r w:rsidRPr="008969D5">
        <w:rPr>
          <w:rFonts w:ascii="Times New Roman" w:hAnsi="Times New Roman" w:cs="Times New Roman"/>
          <w:kern w:val="0"/>
        </w:rPr>
        <w:t>, 2016)</w:t>
      </w:r>
      <w:r>
        <w:fldChar w:fldCharType="end"/>
      </w:r>
      <w:r>
        <w:t xml:space="preserve"> </w:t>
      </w:r>
      <w:r w:rsidRPr="008A6CDB">
        <w:t xml:space="preserve">Erkek merkezli aile yapısının sürdüğü birçok Hristiyan toplumunda miras hukukuna ilişkin düzenlemeler de bu zihniyeti yansıtmış; kız çocuklarının mirastan pay alması çoğu kez erkek kardeşin bulunmamasına bağlı kılınarak, erkek evlât soyun ve malvarlığının esas taşıyıcısı kabul edilmiştir. </w:t>
      </w:r>
    </w:p>
    <w:p w14:paraId="727D6A73" w14:textId="77777777" w:rsidR="00B8798D" w:rsidRPr="00341312" w:rsidRDefault="00B8798D" w:rsidP="00B8798D">
      <w:pPr>
        <w:pStyle w:val="berschrift3"/>
      </w:pPr>
      <w:bookmarkStart w:id="6" w:name="_Toc219583134"/>
      <w:r w:rsidRPr="00341312">
        <w:lastRenderedPageBreak/>
        <w:t>İslam Öncesi Türk Milletinde Nikah Hukuku ve Kadın</w:t>
      </w:r>
      <w:bookmarkEnd w:id="6"/>
      <w:r w:rsidRPr="00341312">
        <w:t xml:space="preserve"> </w:t>
      </w:r>
    </w:p>
    <w:p w14:paraId="5069ABEC" w14:textId="77777777" w:rsidR="00B8798D" w:rsidRPr="00884C7D" w:rsidRDefault="00B8798D" w:rsidP="00B8798D">
      <w:pPr>
        <w:jc w:val="both"/>
      </w:pPr>
      <w:r w:rsidRPr="00884C7D">
        <w:t xml:space="preserve">Eski Türklerde aile yapısında ataerkil bir düzen hâkim olmakla birlikte, kadınların pek çok kavme göre daha avantajlı bir konumda oldukları görülmektedir. Kadın, evin sahibi ve yöneticisi olarak kabul edilmiş; ev içi rollerinin yanında kamusal alanda da görece geniş hareket imkânına sahip olmuştur. </w:t>
      </w:r>
      <w:r>
        <w:fldChar w:fldCharType="begin"/>
      </w:r>
      <w:r>
        <w:instrText xml:space="preserve"> ADDIN ZOTERO_ITEM CSL_CITATION {"citationID":"StazQsUn","properties":{"unsorted":false,"formattedCitation":"({\\i{}HATUN}, t.y.; Mandalo\\uc0\\u287{}lu, 2013, 2022)","plainCitation":"(HATUN, t.y.; Mandaloğlu, 2013, 2022)","noteIndex":0},"citationItems":[{"id":868,"uris":["http://zotero.org/users/19130126/items/HTTBSA3Z"],"itemData":{"id":868,"type":"webpage","abstract":"Türkler’de ve Moğollar’da hükümdar ailesine mensup kadınlar için kullanılan bir unvan.","container-title":"TDV İslâm Ansiklopedisi","language":"tr","title":"HATUN","URL":"https://islamansiklopedisi.org.tr/hatun","accessed":{"date-parts":[["2026",5,9]]}}},{"id":181,"uris":["http://zotero.org/users/19130126/items/5WC4AJ92"],"itemData":{"id":181,"type":"article-journal","archive_location":"TDV İslâm Araştırmaları Merkezi","container-title":"Türkiyat Araştırmaları Dergisi","issue":"33","language":"tr","license":"Her türlü telif hakkı Türkiyat Araştırmaları Dergisi [Selçuk Üniversitesi]ne aittir.","page":"133-159","publisher":"Selçuk Üniversitesi","source":"ktpmakale.isam.org.tr","title":"İslamiyetten Önce Türklerde Aile Hukuku","author":[{"family":"Mandaloğlu","given":"Mehmet"}],"issued":{"date-parts":[["2013"]]}}},{"id":668,"uris":["http://zotero.org/users/19130126/items/7K44K2AB"],"itemData":{"id":668,"type":"article-journal","abstract":"Bu çalışma İslamiyet’ten önceki Türklerde aile ile ilgili kavramlar, ailenin oluşumu, aile tipleri, çocuk ile ilgili hususlar ve aile hukukunu kapsamaktadır. Çalışma, Orta Asya’da tarih sahnesine çıkmış Türkler ile farklı bölgelere göç etmiş Türk topluluklarının aile hayatını içermektedir. Çalışmanın amacı eski Türk ailesinin konumunu sosyo-kültürel tarih anlayışı biçiminde ortaya koymaktır. İslamiyet’ten önceki Türk ailesi hakkında birçok makale ve kitap yazılmıştır. Bu çalışmada konu bütüncül bir yaklaşımla değerlendirmeye ve konuya yeni bir yorum katılmaya çalışılmıştır. Bazı konular makalenin sınırları içinde tartışılmıştır. Bu kapsamda eski Türk aile yapısı hakkında bazı tespitler yapılmıştır. Türklerde aile toplumun ve devletin temeli olarak görülmüştür. Aile, toplumun sağlam temeller üzerine oturmasında önemli rol oynar. Aile aynı zamanda Türk milletinin güç merkezini de oluşturur. Aile, Türk devletinin en küçük örneği olup aynı zamanda devlet olmanın başlangıcıdır. Bundan dolayı Türkler güçlü orduları ve sağlam aile yapıları sayesinde tarih boyunca varlıklarını sürdürmüşlerdir. Türk ailesi İslamiyet’ten önceki dönemde karı, koca ve çocuklardan oluşan çekirdek aile şeklindedir. Eski Türklerden itibaren çocuklar aile için değerlidir. Oğlanı yetiştirmek babanın görevi iken kızı yetiştirmek annenin görevidir. İslamiyet’ten önce Türk toplumunda farklı aile tiplerinin olduğu ise tartışmalıdır. Bazı bilim insanları eski Türklerde geniş aile tipinin olduğu görüşündedir. Bu görüş Türklerde akrabalık esasına göre önem kazanmaktadır. Aile yapısı eski kaynaklarda oguş olarak geçmektedir. Ailelerin bir araya gelmesiyle urug denilen aileler birliği yani oba meydana gelmiştir. Urugların bir araya gelmesiyle bod (boy, kabile), bodun (boylar birliği) ve il (devlet) oluşmuştur. Türkler belirli bir düzen içinde akrabalarıyla bir arada yaşamışlardır. Bu durum Türklerin sosyal hayatında birlik ve dayanışma içinde olduklarını göstermektedir. Boyların başında dayanışmayı güçlendiren, hak ve adaleti gözeten, boyun menfaatlerini koruyan, silahlı güç kullanmaya yetkili beyler vardır. Erkek otoritesine dayanan ataerkil aile yapısı eski Türk toplumunda görülmektedir. Buna rağmen ailede annenin de söz hakkı vardır. Türkler tarih boyunca kadınlarına büyük değer vermişlerdir. Aile evlilik yoluyla kan bağına dayalı olarak kurulmuştur. Eski Türklerin siyasi sebeplerle evlilikler yaptıkları bilinmektedir. Bilhassa devleti yöneten hakanların siyasi evlilikler yaptıkları tarihi kayıtlarda geçmektedir. Bu durumun ilk örneği MÖ 198 yılında yapılan bir barış antlaşmasında görülmektedir. Tek eşle evlilik Türklerde yaygındır. Levirat tipi evlilikler gerekli durumlarda görülmektedir. Levirat, ölen kardeşin dul kalan eşi ile evlenme biçimidir. Eski Türklerde dul kalan kadınlar bu şekilde koruma altına alınmıştır. Bu durum Çinliler tarafından garip karşılanmış ve ahlaka aykırı olarak gösterilmeye çalışılmıştır. Evlilik, bir aile kurmak için bir erkek ve bir kadının birleşmesidir. Türklerde evlilik geleneğinin ilk izleri Hunlara dayanmaktadır. Bu gelenek diğer Türk topluluklarında da görülmektedir. Eski Türklerde evlilik süreci kızın istenmesinden itibaren içinde birçok geleneği barındıran farklı merasimler yoluyla gerçekleşmektedir. Türklerde evlenme aynı zamanda yuva kurmadır. Türklerde aile hayatı töre yoluyla güvence altına alınmıştır. Aile hukuku töreye göre düzenlenmiştir. Miras, mülkiyet, ceza hukuku töreye göre belirlenmiştir. Türklerde devletin devamlılığının sağlanması amacıyla işlenen suçlar cezalandırılmıştır. Türklerde suçluların cezalandırılması devletin hak ve görevleri arasındadır.","container-title":"Genel Türk Tarihi Araştırmaları Dergisi","DOI":"10.53718/gttad.1067665","ISSN":"2667-5366","issue":"8","journalAbbreviation":"GTTAD","language":"tr","page":"481-498","publisher":"Özgür TÜRKER","source":"dergipark.org.tr","title":"ESKİ TÜRKLERDE AİLE VE EVLİLİK ANLAYIŞI","volume":"4","author":[{"family":"Mandaloğlu","given":"Mehmet"}],"issued":{"date-parts":[["2022",7,20]]}}}],"schema":"https://github.com/citation-style-language/schema/raw/master/csl-citation.json"} </w:instrText>
      </w:r>
      <w:r>
        <w:fldChar w:fldCharType="separate"/>
      </w:r>
      <w:r w:rsidRPr="00110CDB">
        <w:rPr>
          <w:rFonts w:ascii="Times New Roman" w:hAnsi="Times New Roman" w:cs="Times New Roman"/>
          <w:kern w:val="0"/>
        </w:rPr>
        <w:t>(</w:t>
      </w:r>
      <w:r w:rsidRPr="00110CDB">
        <w:rPr>
          <w:rFonts w:ascii="Times New Roman" w:hAnsi="Times New Roman" w:cs="Times New Roman"/>
          <w:i/>
          <w:iCs/>
          <w:kern w:val="0"/>
        </w:rPr>
        <w:t>HATUN</w:t>
      </w:r>
      <w:r w:rsidRPr="00110CDB">
        <w:rPr>
          <w:rFonts w:ascii="Times New Roman" w:hAnsi="Times New Roman" w:cs="Times New Roman"/>
          <w:kern w:val="0"/>
        </w:rPr>
        <w:t xml:space="preserve">, </w:t>
      </w:r>
      <w:proofErr w:type="spellStart"/>
      <w:r w:rsidRPr="00110CDB">
        <w:rPr>
          <w:rFonts w:ascii="Times New Roman" w:hAnsi="Times New Roman" w:cs="Times New Roman"/>
          <w:kern w:val="0"/>
        </w:rPr>
        <w:t>t.y</w:t>
      </w:r>
      <w:proofErr w:type="spellEnd"/>
      <w:r w:rsidRPr="00110CDB">
        <w:rPr>
          <w:rFonts w:ascii="Times New Roman" w:hAnsi="Times New Roman" w:cs="Times New Roman"/>
          <w:kern w:val="0"/>
        </w:rPr>
        <w:t xml:space="preserve">.; </w:t>
      </w:r>
      <w:proofErr w:type="spellStart"/>
      <w:r w:rsidRPr="00110CDB">
        <w:rPr>
          <w:rFonts w:ascii="Times New Roman" w:hAnsi="Times New Roman" w:cs="Times New Roman"/>
          <w:kern w:val="0"/>
        </w:rPr>
        <w:t>Mandaloğlu</w:t>
      </w:r>
      <w:proofErr w:type="spellEnd"/>
      <w:r w:rsidRPr="00110CDB">
        <w:rPr>
          <w:rFonts w:ascii="Times New Roman" w:hAnsi="Times New Roman" w:cs="Times New Roman"/>
          <w:kern w:val="0"/>
        </w:rPr>
        <w:t>, 2013, 2022)</w:t>
      </w:r>
      <w:r>
        <w:fldChar w:fldCharType="end"/>
      </w:r>
      <w:r>
        <w:t xml:space="preserve"> </w:t>
      </w:r>
      <w:r w:rsidRPr="00884C7D">
        <w:t xml:space="preserve">Çok eşlilik örneklerine rastlanmakla beraber tek eşlilik yaygın olup, eş seçiminde kadınların da söz hakkı bulunduğu kaynaklarda ifade edilmektedir. Kadınlar kocalarından bağımsız olarak mal edinebilmekte, sosyal ve dinî yaşamda önemli görevler üstlenmekte, dinî törenlere katılmakta ve zaman zaman bu törenlere başkanlık edebilmektedir. </w:t>
      </w:r>
      <w:r>
        <w:t>D</w:t>
      </w:r>
      <w:r w:rsidRPr="00884C7D">
        <w:t xml:space="preserve">evlet yönetiminde hatunlar hem siyasal hem de askerî hayatta söz sahibi </w:t>
      </w:r>
      <w:r>
        <w:t>olabilmiş</w:t>
      </w:r>
      <w:r w:rsidRPr="00884C7D">
        <w:t>, bazı durumlarda devlet işlerinde bakan düzeyinde roller üstlenmişlerdi</w:t>
      </w:r>
      <w:r>
        <w:t xml:space="preserve">.  </w:t>
      </w:r>
      <w:r w:rsidRPr="00884C7D">
        <w:t>Boşanma hakkı da kadına tanınmış; evliliğin devamını istemeyen kadın, belirli şartlar dâhilinde kocasından ayrılabilmiştir. Kız ve erkek çocuklar arasında cinsiyete dayalı bir ayrım yapılmadığı; her iki cinsin de toplumsal hayatta değerli görüldüğü ve kahramanlık gösteren çocuklara toplum tarafından isim verildiği belirtilmektedir.</w:t>
      </w:r>
    </w:p>
    <w:p w14:paraId="00F5572D" w14:textId="6DD80DA5" w:rsidR="00B8798D" w:rsidRDefault="00B8798D" w:rsidP="000F0890">
      <w:pPr>
        <w:jc w:val="both"/>
      </w:pPr>
      <w:r w:rsidRPr="00884C7D">
        <w:t xml:space="preserve">İslâmiyet öncesi Türk toplumunda aile hukuku, töreye dayalı olarak şekillenmiş ve nikâh akdi, kadının haklarını güvence altına alan temel bir kurum işlevi görmüştür. Evlilik sürecinde “kalın” adı verilen </w:t>
      </w:r>
      <w:proofErr w:type="spellStart"/>
      <w:r w:rsidRPr="00884C7D">
        <w:t>mehir</w:t>
      </w:r>
      <w:proofErr w:type="spellEnd"/>
      <w:r w:rsidRPr="00884C7D">
        <w:t xml:space="preserve"> benzeri ödeme, damadın ailesi tarafından kızın ailesine verilerek evliliğin teminatı sağlanmış; buna karşılık kadının baba evinden getirdiği çeyiz onun şahsî malı kabul edilmiştir. Bu düzenlemeler hem kadının ekonomik haklarını koruyan hem de boşanmayı zorlaştırarak aile bütünlüğünü güvence altına alan mekanizmalar olarak öne çıkmaktadır.</w:t>
      </w:r>
      <w:r w:rsidR="000F0890">
        <w:fldChar w:fldCharType="begin"/>
      </w:r>
      <w:r w:rsidR="000F0890">
        <w:instrText xml:space="preserve"> ADDIN ZOTERO_ITEM CSL_CITATION {"citationID":"5rayV9zV","properties":{"unsorted":false,"formattedCitation":"(Yavuz &amp; Ertem, 2021)","plainCitation":"(Yavuz &amp; Ertem, 2021)","noteIndex":0},"citationItems":[{"id":662,"uris":["http://zotero.org/users/19130126/items/LD7JL9UN"],"itemData":{"id":662,"type":"article-journal","abstract":"Toplumun sağlam temeller üzerinde inşa edilmesinde ve sağlıklı gelişim göstermesinde kadın önemli bir değere sahiptir. Bütün toplumların kendine özgü inançları, tarihleri, kültürel değerleri, sosyal ve siyasal hayatları bulunmakta olup bu toplumların cinsiyet ve kadın algısı da kendine özgü değerler içerisinde farklı şekillerde ortaya çıkmıştır. Tarihsel süreç içerisinde kadın toplumsal cinsiyet açısından değerlendirildiğinde dünya genelinde var olan toplumların hepsinde ayrımcılığa ve şiddetin her türlüsüne maruz kalarak ikinci sınıf insan olarak nitelendirilmiştir. Dünyada son yıllarda meydana gelen siyasal, ekonomik, sosyal ve teknolojik ilerlemeler sayesinde kadının toplumdaki konumunun tartışılmaya başlaması ile birlikte bu konudaki olumsuzlukların giderilmesi için kadınlar hak mücadelesi vermeye başlamışlardır. Bu mücadeleler ile birlikte toplumlar içerisinde kadınların konumu ve bu toplumların kadınlara bakış açısında olumlu yönde değişimler görülmeye başlanmıştır. Bu çalışma kronolojik bir tarihsel süreç içerisinde geçmişten günümüze Türk toplumunda kadın algısı, kadının toplumsal hayattaki rolünü ve konumu açıklanmaya çalışılacaktır. Çalışma bu konu ile ilgili, sosyoloji, tarih, hukuk ve uluslararası ilişkiler kapsamında yazılmış kaynakların incelenmesi sonucunda yapılmıştır.","container-title":"Sosyal Araştırmalar ve Yönetim Dergisi","DOI":"10.35375/sayod.906552","ISSN":"2667-5897","issue":"1","journalAbbreviation":"SAYOD","language":"tr","page":"69-82","publisher":"Seda UYAR","source":"dergipark.org.tr","title":"TÜRK TOPLUMUNDA KADININ STATÜSÜNE GENEL BİR BAKIŞ","author":[{"family":"Yavuz","given":"Kübra"},{"family":"Ertem","given":"Aksa"}],"issued":{"date-parts":[["2021",4,13]]}}}],"schema":"https://github.com/citation-style-language/schema/raw/master/csl-citation.json"} </w:instrText>
      </w:r>
      <w:r w:rsidR="000F0890">
        <w:fldChar w:fldCharType="separate"/>
      </w:r>
      <w:r w:rsidR="000F0890" w:rsidRPr="000F0890">
        <w:rPr>
          <w:rFonts w:ascii="Times New Roman" w:hAnsi="Times New Roman" w:cs="Times New Roman"/>
        </w:rPr>
        <w:t>(Yavuz &amp; Ertem, 2021)</w:t>
      </w:r>
      <w:r w:rsidR="000F0890">
        <w:fldChar w:fldCharType="end"/>
      </w:r>
      <w:r w:rsidRPr="00884C7D">
        <w:t xml:space="preserve"> Nikâh, kalın ve çeyiz kararlaştırıldıktan sonra kıyılmakta; nikâhsız birliktelikler geçerli bir evlilik olarak tanınmamaktaydı. Kadın yalnızca aile içinde değil, toplum ve devlet yönetiminde de itibarlı bir konuma sahip olduğundan, İslâm öncesi Türklerde nikâh hukuku, kadının sosyal ve hukuki statüsünü gözeten ve ona güçlü bir toplumsal rol sağlayan bir yapı olarak dikkat çekmektedir.</w:t>
      </w:r>
    </w:p>
    <w:p w14:paraId="5F1E160A" w14:textId="77777777" w:rsidR="00B8798D" w:rsidRPr="00E505A8" w:rsidRDefault="00B8798D" w:rsidP="00B8798D">
      <w:pPr>
        <w:pStyle w:val="berschrift3"/>
      </w:pPr>
      <w:bookmarkStart w:id="7" w:name="_Toc219583135"/>
      <w:r w:rsidRPr="00ED290B">
        <w:t>Cahiliye Döneminde Kadının Hukuki Konumu</w:t>
      </w:r>
      <w:bookmarkEnd w:id="7"/>
    </w:p>
    <w:p w14:paraId="20405C6C" w14:textId="28370E30" w:rsidR="00B8798D" w:rsidRPr="00C75A36" w:rsidRDefault="00B8798D" w:rsidP="00B8798D">
      <w:pPr>
        <w:jc w:val="both"/>
      </w:pPr>
      <w:r w:rsidRPr="00C75A36">
        <w:t xml:space="preserve">İslâm öncesi Arap yarımadasında kadın, ataerkil kabile düzeninin belirlediği toplumsal yapıda ikinci planda konumlanmıştı. Evlilikte kadının rızası çoğu kere belirleyici sayılmıyor; evlilik, kabile ittifaklarını güçlendirmek, ekonomik ve siyasî fayda temin </w:t>
      </w:r>
      <w:r w:rsidRPr="00C75A36">
        <w:lastRenderedPageBreak/>
        <w:t xml:space="preserve">etmek gibi amaçlarla veliler arasında kurulan bir akit niteliği taşıyordu. Asabiyete büyük önem veren </w:t>
      </w:r>
      <w:proofErr w:type="spellStart"/>
      <w:r w:rsidRPr="00C75A36">
        <w:t>Câhiliye</w:t>
      </w:r>
      <w:proofErr w:type="spellEnd"/>
      <w:r w:rsidRPr="00C75A36">
        <w:t xml:space="preserve"> Arapları, nesebin “saf” kalmasını öncelemiş; bedevî–</w:t>
      </w:r>
      <w:proofErr w:type="spellStart"/>
      <w:r w:rsidRPr="00C75A36">
        <w:t>hadarî</w:t>
      </w:r>
      <w:proofErr w:type="spellEnd"/>
      <w:r w:rsidRPr="00C75A36">
        <w:t xml:space="preserve">, hür–köle ayrımı gibi statü farklarını gözeterek evlilikte </w:t>
      </w:r>
      <w:proofErr w:type="spellStart"/>
      <w:r w:rsidRPr="00C75A36">
        <w:rPr>
          <w:i/>
          <w:iCs/>
        </w:rPr>
        <w:t>kefâet</w:t>
      </w:r>
      <w:proofErr w:type="spellEnd"/>
      <w:r w:rsidRPr="00C75A36">
        <w:t xml:space="preserve"> (denklik) aramışlardır. Kadınların çoğu kabile veya koca ailesine ekonomik ve hukukî bakımdan bağımlıydı; mirastan mahrum bırakılıyor, hür kadınlar dahi çoğu zaman kişilik ve mülkiyet hakları bakımından erkekle eşit bir konuma sahip görülmüyordu. Cariye kadınlar ise mal gibi alınıp satılabiliyor, hatta para karşılığı fuhşa zorlanabiliyordu. Bu zihniyetin yansıması olarak, </w:t>
      </w:r>
      <w:proofErr w:type="spellStart"/>
      <w:r w:rsidRPr="00C75A36">
        <w:t>Kur’ân’ın</w:t>
      </w:r>
      <w:proofErr w:type="spellEnd"/>
      <w:r w:rsidRPr="00C75A36">
        <w:t xml:space="preserve"> da işaret ettiği üzere, pek çok erkek için kız çocuğu doğumu utanç kaynağı sayılıyor, kızla müjdelenen babanın yüzü “kararıp halka gizlenmesi” tipik bir tavır olarak tasvir ediliyordu.</w:t>
      </w:r>
      <w:r w:rsidR="00111E9E">
        <w:fldChar w:fldCharType="begin"/>
      </w:r>
      <w:r w:rsidR="00111E9E">
        <w:instrText xml:space="preserve"> ADDIN ZOTERO_ITEM CSL_CITATION {"citationID":"Sqhmr7p5","properties":{"unsorted":false,"formattedCitation":"(Alt\\uc0\\u305{}nta\\uc0\\u351{}, 2001; Aynur, 2019)","plainCitation":"(Altıntaş, 2001; Aynur, 2019)","noteIndex":0},"citationItems":[{"id":156,"uris":["http://zotero.org/users/19130126/items/LRRQIS83"],"itemData":{"id":156,"type":"article-journal","archive_location":"TDV İslâm Araştırmaları Merkezi","container-title":"Diyanet İlmi Dergi","issue":"1","language":"tr","license":"Her türlü telif hakkı Diyanet İlmi Dergine aittir.","page":"61-86","source":"ktpmakale.isam.org.tr","title":"Cahiliye Arap Toplumunda Kadın","volume":"XXXVII","author":[{"family":"Altıntaş","given":"Ramazan"}],"issued":{"date-parts":[["2001"]]}}},{"id":154,"uris":["http://zotero.org/users/19130126/items/N93I3AT8"],"itemData":{"id":154,"type":"article-journal","abstract":"In classical written work, literature on women/girls takes place in a certain part of a writing, while in modern life, it becomes the main theme of studies on its own, with the effect of orientalist and secular acquis. This is because, although west's criticism of religion, which starts with the modernization process, involves several areas of Islam, in general it brings up the issue of human rights, in particular, the issue of “women”. It is self evident that the intellectual blockage, which is uncovered by these stages, adds new perspectives to the investigations about women/girls. However, these practices that reach the level of assimilation and exploitation, accompany a terminological confusion, too. Thus, it is nearly impossible to examine the issue of women, although hermeneutics or interpretation oriented, free from projection of any “...ism” and populist discourse, as well as safe fromapologetic conduct.","container-title":"Dinbilimleri Akademik Araştırma Dergisi","DOI":"10.33415/daad.575458","ISSN":"1303-9199","issue":"2","language":"tr","page":"479-518","source":"DOI.org (Crossref)","title":"AYETLER IŞIĞINDA CAHİLİYEDEN İSLAM’A KIZ ÇOCUĞU/KADIN HAKLARININ TAHVÎLİ","volume":"19","author":[{"family":"Aynur","given":"Hatice Şahin"}],"issued":{"date-parts":[["2019",9,30]]}}}],"schema":"https://github.com/citation-style-language/schema/raw/master/csl-citation.json"} </w:instrText>
      </w:r>
      <w:r w:rsidR="00111E9E">
        <w:fldChar w:fldCharType="separate"/>
      </w:r>
      <w:r w:rsidR="00111E9E" w:rsidRPr="00111E9E">
        <w:rPr>
          <w:rFonts w:ascii="Times New Roman" w:hAnsi="Times New Roman" w:cs="Times New Roman"/>
          <w:kern w:val="0"/>
        </w:rPr>
        <w:t>(Altıntaş, 2001; Aynur, 2019)</w:t>
      </w:r>
      <w:r w:rsidR="00111E9E">
        <w:fldChar w:fldCharType="end"/>
      </w:r>
      <w:r w:rsidRPr="00C75A36">
        <w:t xml:space="preserve"> Kız çocuklarının diri diri toprağa gömülmesi her kabilede yaygın olmamakla birlikte, bazı kabilelerde yoksulluk korkusu, savaş ve iffet endişesi gibi gerekçelerle kız çocuklarına yaşam hakkının dahi tanınmadığı ağır bir pratik olarak varlık göstermiştir.</w:t>
      </w:r>
    </w:p>
    <w:p w14:paraId="6026518E" w14:textId="44A8C9A0" w:rsidR="00B8798D" w:rsidRPr="00C75A36" w:rsidRDefault="00B8798D" w:rsidP="00B8798D">
      <w:pPr>
        <w:jc w:val="both"/>
      </w:pPr>
      <w:proofErr w:type="spellStart"/>
      <w:r w:rsidRPr="00C75A36">
        <w:t>Câhiliye</w:t>
      </w:r>
      <w:proofErr w:type="spellEnd"/>
      <w:r w:rsidRPr="00C75A36">
        <w:t xml:space="preserve"> geleneğinde evlilik ve cinsellik alanında, sayıları kaynaklara göre on beşi bulan ve önemli bir kısmı İslâm tarafından ilga edilen çeşitli nikâh türleri mevcuttu</w:t>
      </w:r>
      <w:r w:rsidR="00171B28">
        <w:t xml:space="preserve"> </w:t>
      </w:r>
      <w:r w:rsidR="00171B28">
        <w:fldChar w:fldCharType="begin"/>
      </w:r>
      <w:r w:rsidR="00171B28">
        <w:instrText xml:space="preserve"> ADDIN ZOTERO_ITEM CSL_CITATION {"citationID":"ejhtZCfz","properties":{"unsorted":false,"formattedCitation":"(Aksoy, 2021; Demi\\uc0\\u775{}rcan, t.y.)","plainCitation":"(Aksoy, 2021; Demi̇rcan, t.y.)","noteIndex":0},"citationItems":[{"id":6,"uris":["http://zotero.org/users/19130126/items/MAEQACL9"],"itemData":{"id":6,"type":"article-journal","abstract":"Allah has intended to create a caliph on earth, and as a manifestation of this will He created man. Humans are made up of two different species, male and female. Hz. Allah has made marriage and marriage legitimate for the continuation of the human race, which consists of different species, and has forbidden adultery. Therefore, human beings are creatures that live in society. There are certain values that are inevitable for the society to maintain its existence. If these values are lost, the order of life will be destroyed, corruption and evil will spread everywhere. The duty of servitude, which is the purpose of man's creation, is forgotten and the person is deprived of the eternal bliss of the hereafter. At the forefront of these values is the family institution. Because the family is the most important basic building block that makes up the society and the state. Therefore, the existence of the society, the state and even the legal systems depend on the continuation of a regular family institution. Because the family is a bridge between society and individuals. Therefore, the family institution, which is the smallest and basic element of the social structure, has been the most important institution in all divine religions throughout history. One of the two essential elements that make up the family is the woman. However, the status of women in society has always been discussed in pre-Islamic societies.","container-title":"Uluslararası Sosyal ve Eğitim Bilimleri Dergisi","DOI":"10.20860/ijoses.929270","ISSN":"2148-8673","issue":"15","language":"tr","page":"20-39","source":"DOI.org (Crossref)","title":"İslam Öncesi Toplumlarda ve İslam’da Kadının Statüsü","volume":"0","author":[{"family":"Aksoy","given":"Ramazan"}],"issued":{"date-parts":[["2021",6,20]]}}},{"id":186,"uris":["http://zotero.org/users/19130126/items/JHV745JR"],"itemData":{"id":186,"type":"article-journal","abstract":"There are differences in marriages between Islamic marriage contracts and Jahiliyya Era marriage contracts. Islam abolished certain applications of marriage contracts of Jahiliyya and added certain new applications to marriages. The marriages at Jahiliyya had the following conditions: Girl is asked for the marriage with his father’s consent, a dowry (mehr) to be decided, and the presence of witnesses. It was similar to a commercial act, and it was almost identical with an Islamic marriage contract.","language":"tr","source":"Zotero","title":"Cahiliye Ve Hz. Peygamber Dönemi Uygulamalarıyla Nikâh","author":[{"family":"Demi̇rcan","given":"Adnan"}]}}],"schema":"https://github.com/citation-style-language/schema/raw/master/csl-citation.json"} </w:instrText>
      </w:r>
      <w:r w:rsidR="00171B28">
        <w:fldChar w:fldCharType="separate"/>
      </w:r>
      <w:r w:rsidR="00171B28" w:rsidRPr="00171B28">
        <w:rPr>
          <w:rFonts w:ascii="Times New Roman" w:hAnsi="Times New Roman" w:cs="Times New Roman"/>
          <w:kern w:val="0"/>
        </w:rPr>
        <w:t xml:space="preserve">(Aksoy, 2021; </w:t>
      </w:r>
      <w:proofErr w:type="spellStart"/>
      <w:r w:rsidR="00171B28" w:rsidRPr="00171B28">
        <w:rPr>
          <w:rFonts w:ascii="Times New Roman" w:hAnsi="Times New Roman" w:cs="Times New Roman"/>
          <w:kern w:val="0"/>
        </w:rPr>
        <w:t>Demi̇rcan</w:t>
      </w:r>
      <w:proofErr w:type="spellEnd"/>
      <w:r w:rsidR="00171B28" w:rsidRPr="00171B28">
        <w:rPr>
          <w:rFonts w:ascii="Times New Roman" w:hAnsi="Times New Roman" w:cs="Times New Roman"/>
          <w:kern w:val="0"/>
        </w:rPr>
        <w:t xml:space="preserve">, </w:t>
      </w:r>
      <w:proofErr w:type="spellStart"/>
      <w:r w:rsidR="00171B28" w:rsidRPr="00171B28">
        <w:rPr>
          <w:rFonts w:ascii="Times New Roman" w:hAnsi="Times New Roman" w:cs="Times New Roman"/>
          <w:kern w:val="0"/>
        </w:rPr>
        <w:t>t.y</w:t>
      </w:r>
      <w:proofErr w:type="spellEnd"/>
      <w:r w:rsidR="00171B28" w:rsidRPr="00171B28">
        <w:rPr>
          <w:rFonts w:ascii="Times New Roman" w:hAnsi="Times New Roman" w:cs="Times New Roman"/>
          <w:kern w:val="0"/>
        </w:rPr>
        <w:t>.)</w:t>
      </w:r>
      <w:r w:rsidR="00171B28">
        <w:fldChar w:fldCharType="end"/>
      </w:r>
      <w:r w:rsidRPr="00C75A36">
        <w:t xml:space="preserve">; bunların birçoğu kadını nesneleştiren, namus ve mahremiyet anlayışını zedeleyen uygulamalardı. Bununla birlikte, </w:t>
      </w:r>
      <w:proofErr w:type="spellStart"/>
      <w:r w:rsidRPr="00C75A36">
        <w:t>Kur’ân</w:t>
      </w:r>
      <w:proofErr w:type="spellEnd"/>
      <w:r w:rsidRPr="00C75A36">
        <w:t xml:space="preserve"> ve </w:t>
      </w:r>
      <w:proofErr w:type="spellStart"/>
      <w:r w:rsidRPr="00C75A36">
        <w:t>Sünnet’in</w:t>
      </w:r>
      <w:proofErr w:type="spellEnd"/>
      <w:r w:rsidRPr="00C75A36">
        <w:t xml:space="preserve"> benimsediği, </w:t>
      </w:r>
      <w:proofErr w:type="spellStart"/>
      <w:r w:rsidRPr="00C75A36">
        <w:t>mehir</w:t>
      </w:r>
      <w:proofErr w:type="spellEnd"/>
      <w:r w:rsidRPr="00C75A36">
        <w:t xml:space="preserve"> ödenerek, veli aracılığıyla ve şahitler huzurunda kıyılan klasik nikâh tipi </w:t>
      </w:r>
      <w:proofErr w:type="spellStart"/>
      <w:r w:rsidRPr="00C75A36">
        <w:t>Câhiliye’de</w:t>
      </w:r>
      <w:proofErr w:type="spellEnd"/>
      <w:r w:rsidRPr="00C75A36">
        <w:t xml:space="preserve"> de biliniyor ve yaygın bir uygulama olarak sürdürülüyordu; İslâm, esasen bu yapıyı ıslah ederek devam ettirmiştir. Tartışmalı örneklerden </w:t>
      </w:r>
      <w:proofErr w:type="spellStart"/>
      <w:proofErr w:type="gramStart"/>
      <w:r w:rsidRPr="00C75A36">
        <w:t>mut‘</w:t>
      </w:r>
      <w:proofErr w:type="gramEnd"/>
      <w:r w:rsidRPr="00C75A36">
        <w:t>a</w:t>
      </w:r>
      <w:proofErr w:type="spellEnd"/>
      <w:r w:rsidRPr="00C75A36">
        <w:t xml:space="preserve"> nikâhı, belirli bir süre için yapılan, sürenin bitiminde kendiliğinden sona eren ve taraflarca kararlaştırılan bir bedelin kadına ödendiği geçici birliktelikleri ifade eder; uzun yolculuklar, savaşlar ve göçebe hayat gibi durumların bu tür ilişkilere zemin hazırladığı rivayet edilmekle birlikte, saygın kabile kadınlarının ve çoğu kabilenin bunu hoş karşılamadığı da belirtilir.</w:t>
      </w:r>
    </w:p>
    <w:p w14:paraId="3913A8E0" w14:textId="77777777" w:rsidR="00B8798D" w:rsidRPr="00C75A36" w:rsidRDefault="00B8798D" w:rsidP="00B8798D">
      <w:pPr>
        <w:jc w:val="both"/>
      </w:pPr>
      <w:r w:rsidRPr="00C75A36">
        <w:t xml:space="preserve">Nikâh-ı </w:t>
      </w:r>
      <w:proofErr w:type="spellStart"/>
      <w:proofErr w:type="gramStart"/>
      <w:r w:rsidRPr="00C75A36">
        <w:t>istibdâ</w:t>
      </w:r>
      <w:proofErr w:type="spellEnd"/>
      <w:r w:rsidRPr="00C75A36">
        <w:t>‘ ise</w:t>
      </w:r>
      <w:proofErr w:type="gramEnd"/>
      <w:r w:rsidRPr="00C75A36">
        <w:t xml:space="preserve">, kocanın, eşi </w:t>
      </w:r>
      <w:proofErr w:type="spellStart"/>
      <w:r w:rsidRPr="00C75A36">
        <w:t>hayızdan</w:t>
      </w:r>
      <w:proofErr w:type="spellEnd"/>
      <w:r w:rsidRPr="00C75A36">
        <w:t xml:space="preserve"> temizlendikten sonra soylu sayılan bir erkeğe göndererek ondan çocuk sahibi olmayı umduğu bir uygulamayı ifade eder; burada amaç, nesebi “asil” gördükleri bir erkek üzerinden güçlendirmektir. Nikâh-ı bedel, iki erkeğin birbirlerinin eşlerini </w:t>
      </w:r>
      <w:proofErr w:type="spellStart"/>
      <w:r w:rsidRPr="00C75A36">
        <w:t>mehir</w:t>
      </w:r>
      <w:proofErr w:type="spellEnd"/>
      <w:r w:rsidRPr="00C75A36">
        <w:t xml:space="preserve"> ödemeksizin adeta “değiş tokuş” etmesine dayanan, kadınların rızasını ve onurunu büyük ölçüde yok sayan bir evlilik biçimiydi. </w:t>
      </w:r>
      <w:proofErr w:type="spellStart"/>
      <w:r w:rsidRPr="00C75A36">
        <w:rPr>
          <w:i/>
          <w:iCs/>
        </w:rPr>
        <w:t>Hıdn</w:t>
      </w:r>
      <w:proofErr w:type="spellEnd"/>
      <w:r w:rsidRPr="00C75A36">
        <w:t xml:space="preserve"> nikâhı, zina açıkça kınandığı için, kadın ve erkeğin ilişkilerini gizli tutarak sürdürmelerine imkân tanıyan bir düzenlemeydi; ilişki gizli kaldığı sürece toplum nezdinde açıktan zina sayılmıyor, bu da ahlâk anlayışındaki çelişkiyi ortaya koyuyordu. </w:t>
      </w:r>
      <w:r w:rsidRPr="00C75A36">
        <w:lastRenderedPageBreak/>
        <w:t xml:space="preserve">Nikâh-ı </w:t>
      </w:r>
      <w:proofErr w:type="spellStart"/>
      <w:r w:rsidRPr="00C75A36">
        <w:t>bigâ</w:t>
      </w:r>
      <w:proofErr w:type="spellEnd"/>
      <w:r w:rsidRPr="00C75A36">
        <w:t xml:space="preserve">, bazı kadınların evlerine gelen erkeklerle birlikte olabilmelerine imkân veren; nikâh-ı raht ise on veya daha fazla erkeğin ortak kararıyla bir kadını “ortak eş” kabul ettiği, nesep tayinini dahi problemli hâle getiren evlilik türleriydi. Bu tür akitlerin bir kısmı zaten bütün kabilelerde yaygın değildi; İslâm’ın gelişinden sonra vahiy ve Sünnet, kadına ağır zulüm oluşturan ve nesep, </w:t>
      </w:r>
      <w:proofErr w:type="spellStart"/>
      <w:r w:rsidRPr="00C75A36">
        <w:t>mehir</w:t>
      </w:r>
      <w:proofErr w:type="spellEnd"/>
      <w:r w:rsidRPr="00C75A36">
        <w:t xml:space="preserve">, nafaka gibi hakları ortadan kaldıran bu nikâh şekillerinin çoğunu açıkça </w:t>
      </w:r>
      <w:proofErr w:type="spellStart"/>
      <w:proofErr w:type="gramStart"/>
      <w:r w:rsidRPr="00C75A36">
        <w:t>yasaklamıştır.avesis</w:t>
      </w:r>
      <w:proofErr w:type="spellEnd"/>
      <w:proofErr w:type="gramEnd"/>
      <w:r w:rsidRPr="00C75A36">
        <w:t>.</w:t>
      </w:r>
    </w:p>
    <w:p w14:paraId="42426F9E" w14:textId="77777777" w:rsidR="00B8798D" w:rsidRDefault="00B8798D" w:rsidP="00B8798D">
      <w:pPr>
        <w:jc w:val="both"/>
      </w:pPr>
      <w:r w:rsidRPr="00C75A36">
        <w:t xml:space="preserve">Kaynaklarda ayrıca </w:t>
      </w:r>
      <w:proofErr w:type="spellStart"/>
      <w:r w:rsidRPr="00C75A36">
        <w:t>Yesrib’de</w:t>
      </w:r>
      <w:proofErr w:type="spellEnd"/>
      <w:r w:rsidRPr="00C75A36">
        <w:t xml:space="preserve"> </w:t>
      </w:r>
      <w:proofErr w:type="spellStart"/>
      <w:r w:rsidRPr="00C75A36">
        <w:t>Fityûn</w:t>
      </w:r>
      <w:proofErr w:type="spellEnd"/>
      <w:r w:rsidRPr="00C75A36">
        <w:t xml:space="preserve"> adlı zalim bir Yahudi liderden söz edilir; rivayete göre bu kişi, kendi tebaasından evlenen genç kızlarla zifaf gecesinde kocalarından önce birlikte olmayı bir tür “hak” haline getirmiş ve aynı çirkin uygulamayı </w:t>
      </w:r>
      <w:proofErr w:type="spellStart"/>
      <w:r w:rsidRPr="00C75A36">
        <w:t>Evs</w:t>
      </w:r>
      <w:proofErr w:type="spellEnd"/>
      <w:r w:rsidRPr="00C75A36">
        <w:t xml:space="preserve"> ve </w:t>
      </w:r>
      <w:proofErr w:type="spellStart"/>
      <w:r w:rsidRPr="00C75A36">
        <w:t>Hazrec</w:t>
      </w:r>
      <w:proofErr w:type="spellEnd"/>
      <w:r w:rsidRPr="00C75A36">
        <w:t xml:space="preserve"> kabilelerinin kızlarına da dayatmıştır. Malik b. </w:t>
      </w:r>
      <w:proofErr w:type="spellStart"/>
      <w:r w:rsidRPr="00C75A36">
        <w:t>Aclân’ın</w:t>
      </w:r>
      <w:proofErr w:type="spellEnd"/>
      <w:r w:rsidRPr="00C75A36">
        <w:t xml:space="preserve"> kız kardeşini bu aşağılayıcı uygulamadan korumak için </w:t>
      </w:r>
      <w:proofErr w:type="spellStart"/>
      <w:r w:rsidRPr="00C75A36">
        <w:t>Fityûn’u</w:t>
      </w:r>
      <w:proofErr w:type="spellEnd"/>
      <w:r w:rsidRPr="00C75A36">
        <w:t xml:space="preserve"> öldürdüğüne dair rivayet, </w:t>
      </w:r>
      <w:proofErr w:type="spellStart"/>
      <w:r w:rsidRPr="00C75A36">
        <w:t>Câhiliye</w:t>
      </w:r>
      <w:proofErr w:type="spellEnd"/>
      <w:r w:rsidRPr="00C75A36">
        <w:t xml:space="preserve"> toplumunun kimi kesimlerinde kadın bedeninin nasıl bir güç gösterisi ve tahakküm alanına dönüştürüldüğünü çarpıcı biçimde ortaya koymaktadır</w:t>
      </w:r>
      <w:r>
        <w:t>.</w:t>
      </w:r>
    </w:p>
    <w:p w14:paraId="09C0DCDD" w14:textId="77777777" w:rsidR="00B8798D" w:rsidRPr="00B7324B" w:rsidRDefault="00B8798D" w:rsidP="00B8798D">
      <w:pPr>
        <w:pStyle w:val="berschrift2"/>
      </w:pPr>
      <w:bookmarkStart w:id="8" w:name="_Toc219583136"/>
      <w:r w:rsidRPr="00B7324B">
        <w:t>Kur’an’ın Getirdiği Dönüştürücü İlkeler</w:t>
      </w:r>
      <w:bookmarkEnd w:id="8"/>
    </w:p>
    <w:p w14:paraId="46E5C34E" w14:textId="77777777" w:rsidR="00B8798D" w:rsidRPr="00CA0D80" w:rsidRDefault="00B8798D" w:rsidP="00B8798D">
      <w:pPr>
        <w:jc w:val="both"/>
      </w:pPr>
      <w:r w:rsidRPr="00CA0D80">
        <w:t>Kur’an-ı Kerîm, insanı Allah’ın yeryüzündeki halifesi ve hidayet rehberine muhtaç bir varlık olarak görür; toplumu karanlıktan aydınlığa çıkaran ölçüleri adalet, ihsan ve takva ekseninde kurar. Nitekim insanın yaratılış itibariyle aynı özden geldiği, erkek ve kadının Allah katında takva dışında bir üstünlük ölçüsüne sahip olmadığı açıkça ifade edilir</w:t>
      </w:r>
      <w:r>
        <w:rPr>
          <w:rStyle w:val="Funotenzeichen"/>
        </w:rPr>
        <w:footnoteReference w:id="2"/>
      </w:r>
      <w:r w:rsidRPr="00CA0D80">
        <w:t>; bu da cinsiyet temelli hiyerarşiyi reddeden temel ilkeyi oluşturur. Hz. Peygamber de “Sizin en hayırlınız, ailesine en hayırlı olanınızdır”</w:t>
      </w:r>
      <w:r>
        <w:t xml:space="preserve"> [</w:t>
      </w:r>
      <w:proofErr w:type="spellStart"/>
      <w:r w:rsidRPr="00CD5432">
        <w:t>Tirmizî</w:t>
      </w:r>
      <w:proofErr w:type="spellEnd"/>
      <w:r w:rsidRPr="00CD5432">
        <w:t xml:space="preserve">, </w:t>
      </w:r>
      <w:proofErr w:type="spellStart"/>
      <w:r w:rsidRPr="00CD5432">
        <w:t>Menâkıb</w:t>
      </w:r>
      <w:proofErr w:type="spellEnd"/>
      <w:r w:rsidRPr="00CD5432">
        <w:t>, 63</w:t>
      </w:r>
      <w:r>
        <w:t>]</w:t>
      </w:r>
      <w:r w:rsidRPr="00CA0D80">
        <w:t xml:space="preserve"> sözüyle kadınların ezilmesi değil, korunması ve iyi muamele görmesi gerektiğini sünnetiyle örneklendirmiştir.</w:t>
      </w:r>
      <w:r>
        <w:t xml:space="preserve"> </w:t>
      </w:r>
    </w:p>
    <w:p w14:paraId="778269F0" w14:textId="77777777" w:rsidR="00B8798D" w:rsidRPr="00CA0D80" w:rsidRDefault="00B8798D" w:rsidP="00B8798D">
      <w:pPr>
        <w:jc w:val="both"/>
      </w:pPr>
      <w:r w:rsidRPr="00CA0D80">
        <w:t xml:space="preserve">Bu ilkesel çerçeve içinde İslâm, </w:t>
      </w:r>
      <w:proofErr w:type="spellStart"/>
      <w:r w:rsidRPr="00CA0D80">
        <w:t>Câhiliye</w:t>
      </w:r>
      <w:proofErr w:type="spellEnd"/>
      <w:r w:rsidRPr="00CA0D80">
        <w:t xml:space="preserve"> döneminin kadın aleyhine uygulamalarını ortadan kaldırarak kız çocuklarının yaşama hakkını güvence altına almış; onlara eğitim, eş seçimi, mülkiyet, miras ve dava ehliyeti gibi haklar tanımıştır. Kur’an, kadınları miras konusu olmaktan çıkarıp mirastan pay sahibi kılmış; ayrıca kadınların rızası olmaksızın evlendirilmelerini ve baskı yoluyla haklarından vazgeçirilmelerini yasaklamıştır</w:t>
      </w:r>
      <w:r>
        <w:rPr>
          <w:rStyle w:val="Funotenzeichen"/>
        </w:rPr>
        <w:footnoteReference w:id="3"/>
      </w:r>
      <w:r w:rsidRPr="00CA0D80">
        <w:t xml:space="preserve">. Böylece nikâh, mal değişimi mantığından karşılıklı rıza ve hukukî </w:t>
      </w:r>
      <w:r w:rsidRPr="00CA0D80">
        <w:lastRenderedPageBreak/>
        <w:t xml:space="preserve">birliktelik esasına dayanan bir akit hâline gelmiş; </w:t>
      </w:r>
      <w:proofErr w:type="spellStart"/>
      <w:r w:rsidRPr="00CA0D80">
        <w:t>mehir</w:t>
      </w:r>
      <w:proofErr w:type="spellEnd"/>
      <w:r w:rsidRPr="00CA0D80">
        <w:t xml:space="preserve"> ve nafaka gibi kurumlarla kadına ekonomik güvence sağlanmıştır.</w:t>
      </w:r>
    </w:p>
    <w:p w14:paraId="61271DE3" w14:textId="77777777" w:rsidR="00B8798D" w:rsidRDefault="00B8798D" w:rsidP="00B8798D">
      <w:pPr>
        <w:jc w:val="both"/>
      </w:pPr>
      <w:r w:rsidRPr="00CA0D80">
        <w:t xml:space="preserve">İlk dönem uygulamalarında da bu ilkelerin hayata geçirilmeye çalışıldığı görülür. Nikâh akdinin kamu denetimine alınması, şahitlik ve </w:t>
      </w:r>
      <w:proofErr w:type="spellStart"/>
      <w:r w:rsidRPr="00CA0D80">
        <w:t>mehirin</w:t>
      </w:r>
      <w:proofErr w:type="spellEnd"/>
      <w:r w:rsidRPr="00CA0D80">
        <w:t xml:space="preserve"> belgelendirilmesi, kadının hak ihlallerine karşı korunmasını amaçlamıştır; erken fıkıh literatüründe kadının evlilikteki iradesi ve bazı mezheplerde bizzat akit kurma ehliyeti kabul edilerek onun hukukî özerkliği güçlendirilmiştir. Sonuç olarak İslâm nikâh hukuku, kadın onurunu, rızayı ve adaleti merkeze alarak </w:t>
      </w:r>
      <w:proofErr w:type="spellStart"/>
      <w:r w:rsidRPr="00CA0D80">
        <w:t>Câhiliye’nin</w:t>
      </w:r>
      <w:proofErr w:type="spellEnd"/>
      <w:r w:rsidRPr="00CA0D80">
        <w:t xml:space="preserve"> </w:t>
      </w:r>
      <w:proofErr w:type="spellStart"/>
      <w:r w:rsidRPr="00CA0D80">
        <w:t>nesneleştirici</w:t>
      </w:r>
      <w:proofErr w:type="spellEnd"/>
      <w:r w:rsidRPr="00CA0D80">
        <w:t xml:space="preserve"> yapısını dönüştürmüş; aile hukukunu da bu dönüşümün temel alanlarından biri hâline getirmiştir.</w:t>
      </w:r>
    </w:p>
    <w:p w14:paraId="34B2777D" w14:textId="77777777" w:rsidR="00B8798D" w:rsidRDefault="00B8798D" w:rsidP="00B8798D">
      <w:pPr>
        <w:jc w:val="both"/>
      </w:pPr>
      <w:r w:rsidRPr="005612E0">
        <w:t xml:space="preserve">Sonuç olarak İslâm nikâh hukuku, </w:t>
      </w:r>
      <w:proofErr w:type="spellStart"/>
      <w:r w:rsidRPr="005612E0">
        <w:t>Câhiliye’nin</w:t>
      </w:r>
      <w:proofErr w:type="spellEnd"/>
      <w:r w:rsidRPr="005612E0">
        <w:t xml:space="preserve"> kadınları nesneleştiren yapısını tersine çevirerek, </w:t>
      </w:r>
      <w:proofErr w:type="spellStart"/>
      <w:r w:rsidRPr="005612E0">
        <w:t>rızâ</w:t>
      </w:r>
      <w:proofErr w:type="spellEnd"/>
      <w:r w:rsidRPr="005612E0">
        <w:t xml:space="preserve">, </w:t>
      </w:r>
      <w:proofErr w:type="spellStart"/>
      <w:r w:rsidRPr="005612E0">
        <w:t>mehir</w:t>
      </w:r>
      <w:proofErr w:type="spellEnd"/>
      <w:r w:rsidRPr="005612E0">
        <w:t xml:space="preserve"> ve nafaka ekseninde kadına ekonomik ve manevî güvence sağlamış; bu temeller sonraki fıkhî gelişmelerin ve Osmanlı aile hukuku uygulamalarının dayanağını oluşturmuştur.</w:t>
      </w:r>
    </w:p>
    <w:p w14:paraId="3D9ED113" w14:textId="77777777" w:rsidR="00B8798D" w:rsidRPr="00385966" w:rsidRDefault="00B8798D" w:rsidP="00B8798D">
      <w:pPr>
        <w:pStyle w:val="berschrift3"/>
      </w:pPr>
      <w:r w:rsidRPr="00385966">
        <w:t>Sonuç</w:t>
      </w:r>
    </w:p>
    <w:p w14:paraId="10C79781" w14:textId="77777777" w:rsidR="00B8798D" w:rsidRPr="00385966" w:rsidRDefault="00B8798D" w:rsidP="00B8798D">
      <w:pPr>
        <w:jc w:val="both"/>
      </w:pPr>
      <w:r w:rsidRPr="00385966">
        <w:t xml:space="preserve">Bu mukayeseli inceleme, nikâh hukuku bağlamında kadın haklarını İslâm öncesi toplumlar (Asur, Yunan, Roma, Yahudi, Hristiyan, Türk ve Arap gelenekleri) ile İslâm aile hukuku ekseninde ele alarak, kadın statüsünün tarihsel dönüşümünü aydınlatmıştır. İslâm öncesi hukuk ve törelerde kadının çoğu zaman mülkiyet ilişkileri, kabile ittifakları veya ataerkil otorite ekseninde ikincil, bağımlı ve </w:t>
      </w:r>
      <w:proofErr w:type="spellStart"/>
      <w:r w:rsidRPr="00385966">
        <w:t>nesneleştirici</w:t>
      </w:r>
      <w:proofErr w:type="spellEnd"/>
      <w:r w:rsidRPr="00385966">
        <w:t xml:space="preserve"> bir konuma hapsedildiği; miras, evlilik rızası, boşanma ve yaşama hakkı gibi temel alanlarda ağır hak kayıplarına maruz kaldığı görülmüştür. Buna karşılık İslâm, </w:t>
      </w:r>
      <w:proofErr w:type="spellStart"/>
      <w:r w:rsidRPr="00385966">
        <w:t>Kur’ân</w:t>
      </w:r>
      <w:proofErr w:type="spellEnd"/>
      <w:r w:rsidRPr="00385966">
        <w:t xml:space="preserve"> ve Sünnet temelli bir reformla kadını </w:t>
      </w:r>
      <w:proofErr w:type="spellStart"/>
      <w:r w:rsidRPr="00385966">
        <w:t>rızâ</w:t>
      </w:r>
      <w:proofErr w:type="spellEnd"/>
      <w:r w:rsidRPr="00385966">
        <w:t xml:space="preserve">, </w:t>
      </w:r>
      <w:proofErr w:type="spellStart"/>
      <w:r w:rsidRPr="00385966">
        <w:t>mehir</w:t>
      </w:r>
      <w:proofErr w:type="spellEnd"/>
      <w:r w:rsidRPr="00385966">
        <w:t xml:space="preserve">, nafaka ve miras payı gibi somut güvencelerle donatarak, akdin “tarafı” hâline getirmiş; </w:t>
      </w:r>
      <w:proofErr w:type="spellStart"/>
      <w:r w:rsidRPr="00385966">
        <w:t>Câhiliye’nin</w:t>
      </w:r>
      <w:proofErr w:type="spellEnd"/>
      <w:r w:rsidRPr="00385966">
        <w:t xml:space="preserve"> zulüm ve haksızlık içeren nikâh türlerini ilga ederek meşru nikâhı esas kılmıştır.</w:t>
      </w:r>
    </w:p>
    <w:p w14:paraId="540BDBEC" w14:textId="77777777" w:rsidR="00B8798D" w:rsidRDefault="00B8798D" w:rsidP="00B8798D">
      <w:pPr>
        <w:jc w:val="both"/>
      </w:pPr>
      <w:r w:rsidRPr="00385966">
        <w:t xml:space="preserve">İlk dönem uygulamaları ve </w:t>
      </w:r>
      <w:proofErr w:type="spellStart"/>
      <w:r w:rsidRPr="00385966">
        <w:t>mezhebî</w:t>
      </w:r>
      <w:proofErr w:type="spellEnd"/>
      <w:r w:rsidRPr="00385966">
        <w:t xml:space="preserve"> içtihatlar, bu ilkelerin fiilî hayatta da korunduğunu; Hz. Peygamber’in sünneti ile kadınların onur ve haklarının korunmasının aile hayatının merkezine yerleştirildiğini ortaya koymaktadır. Bu reformist yaklaşım, kadın haklarını mutlak eşitlikten </w:t>
      </w:r>
      <w:proofErr w:type="spellStart"/>
      <w:r w:rsidRPr="00385966">
        <w:t>ziyâde</w:t>
      </w:r>
      <w:proofErr w:type="spellEnd"/>
      <w:r w:rsidRPr="00385966">
        <w:t xml:space="preserve"> adalet, sorumluluk ve takva ekseninde yeniden tanımlamış; sonraki fıkhî gelişmelere ve Osmanlı gibi uygulamalara temel oluşturmuştur. Çağdaş tartışmalarda, İslâm nikâh hukukunun tarihsel mirası, metin-</w:t>
      </w:r>
      <w:proofErr w:type="gramStart"/>
      <w:r w:rsidRPr="00385966">
        <w:t>doktrin</w:t>
      </w:r>
      <w:proofErr w:type="gramEnd"/>
      <w:r w:rsidRPr="00385966">
        <w:t>-pratik gerilimini dikkate alan bir okuma ile, kadın onurunu ve aile bütünlüğünü koruyan dinamik bir sistem olarak değerlendirilmelidir.</w:t>
      </w:r>
    </w:p>
    <w:p w14:paraId="6600BF14" w14:textId="77777777" w:rsidR="00B8798D" w:rsidRDefault="00B8798D" w:rsidP="00B8798D">
      <w:pPr>
        <w:pStyle w:val="berschrift2"/>
      </w:pPr>
      <w:bookmarkStart w:id="9" w:name="_Toc219583148"/>
      <w:r w:rsidRPr="00ED290B">
        <w:lastRenderedPageBreak/>
        <w:t>KAYNAK</w:t>
      </w:r>
      <w:r>
        <w:t>ÇA</w:t>
      </w:r>
      <w:bookmarkEnd w:id="9"/>
    </w:p>
    <w:p w14:paraId="317433D7" w14:textId="77777777" w:rsidR="00171B28" w:rsidRPr="00171B28" w:rsidRDefault="00B8798D" w:rsidP="00171B28">
      <w:pPr>
        <w:pStyle w:val="Literaturverzeichnis"/>
      </w:pPr>
      <w:r>
        <w:fldChar w:fldCharType="begin"/>
      </w:r>
      <w:r>
        <w:instrText xml:space="preserve"> ADDIN ZOTERO_BIBL {"uncited":[],"omitted":[],"custom":[]} CSL_BIBLIOGRAPHY </w:instrText>
      </w:r>
      <w:r>
        <w:fldChar w:fldCharType="separate"/>
      </w:r>
      <w:r w:rsidR="00171B28" w:rsidRPr="00171B28">
        <w:rPr>
          <w:i/>
          <w:iCs/>
        </w:rPr>
        <w:t>AİLE</w:t>
      </w:r>
      <w:r w:rsidR="00171B28" w:rsidRPr="00171B28">
        <w:t>. (</w:t>
      </w:r>
      <w:proofErr w:type="spellStart"/>
      <w:proofErr w:type="gramStart"/>
      <w:r w:rsidR="00171B28" w:rsidRPr="00171B28">
        <w:t>t.y</w:t>
      </w:r>
      <w:proofErr w:type="spellEnd"/>
      <w:r w:rsidR="00171B28" w:rsidRPr="00171B28">
        <w:t>.</w:t>
      </w:r>
      <w:proofErr w:type="gramEnd"/>
      <w:r w:rsidR="00171B28" w:rsidRPr="00171B28">
        <w:t>-a). TDV İslâm Ansiklopedisi. Geliş tarihi 08 Mayıs 2026, gönderen https://islamansiklopedisi.org.tr/aile</w:t>
      </w:r>
    </w:p>
    <w:p w14:paraId="51F57B6C" w14:textId="77777777" w:rsidR="00171B28" w:rsidRPr="00171B28" w:rsidRDefault="00171B28" w:rsidP="00171B28">
      <w:pPr>
        <w:pStyle w:val="Literaturverzeichnis"/>
      </w:pPr>
      <w:r w:rsidRPr="00171B28">
        <w:rPr>
          <w:i/>
          <w:iCs/>
        </w:rPr>
        <w:t>AİLE</w:t>
      </w:r>
      <w:r w:rsidRPr="00171B28">
        <w:t>. (</w:t>
      </w:r>
      <w:proofErr w:type="spellStart"/>
      <w:proofErr w:type="gramStart"/>
      <w:r w:rsidRPr="00171B28">
        <w:t>t.y</w:t>
      </w:r>
      <w:proofErr w:type="spellEnd"/>
      <w:r w:rsidRPr="00171B28">
        <w:t>.</w:t>
      </w:r>
      <w:proofErr w:type="gramEnd"/>
      <w:r w:rsidRPr="00171B28">
        <w:t>-b). TDV İslâm Ansiklopedisi. Geliş tarihi 08 Mayıs 2026, gönderen https://islamansiklopedisi.org.tr/aile</w:t>
      </w:r>
    </w:p>
    <w:p w14:paraId="518CC08A" w14:textId="77777777" w:rsidR="00171B28" w:rsidRPr="00171B28" w:rsidRDefault="00171B28" w:rsidP="00171B28">
      <w:pPr>
        <w:pStyle w:val="Literaturverzeichnis"/>
      </w:pPr>
      <w:r w:rsidRPr="00171B28">
        <w:t xml:space="preserve">Aksoy, R. (2021). İslam Öncesi Toplumlarda ve İslam’da Kadının Statüsü. </w:t>
      </w:r>
      <w:r w:rsidRPr="00171B28">
        <w:rPr>
          <w:i/>
          <w:iCs/>
        </w:rPr>
        <w:t>Uluslararası Sosyal ve Eğitim Bilimleri Dergisi</w:t>
      </w:r>
      <w:r w:rsidRPr="00171B28">
        <w:t xml:space="preserve">, </w:t>
      </w:r>
      <w:r w:rsidRPr="00171B28">
        <w:rPr>
          <w:i/>
          <w:iCs/>
        </w:rPr>
        <w:t>0</w:t>
      </w:r>
      <w:r w:rsidRPr="00171B28">
        <w:t>(15), 20-39. https://doi.org/10.20860/ijoses.929270</w:t>
      </w:r>
    </w:p>
    <w:p w14:paraId="1FC353F6" w14:textId="77777777" w:rsidR="00171B28" w:rsidRPr="00171B28" w:rsidRDefault="00171B28" w:rsidP="00171B28">
      <w:pPr>
        <w:pStyle w:val="Literaturverzeichnis"/>
      </w:pPr>
      <w:r w:rsidRPr="00171B28">
        <w:t xml:space="preserve">Akyol, M. Ş. (2024). Yahudi Geleneği Perspektifinden Kadının Ailedeki Statüsü. </w:t>
      </w:r>
      <w:proofErr w:type="spellStart"/>
      <w:r w:rsidRPr="00171B28">
        <w:rPr>
          <w:i/>
          <w:iCs/>
        </w:rPr>
        <w:t>History</w:t>
      </w:r>
      <w:proofErr w:type="spellEnd"/>
      <w:r w:rsidRPr="00171B28">
        <w:rPr>
          <w:i/>
          <w:iCs/>
        </w:rPr>
        <w:t xml:space="preserve"> of </w:t>
      </w:r>
      <w:proofErr w:type="spellStart"/>
      <w:r w:rsidRPr="00171B28">
        <w:rPr>
          <w:i/>
          <w:iCs/>
        </w:rPr>
        <w:t>Religions</w:t>
      </w:r>
      <w:proofErr w:type="spellEnd"/>
      <w:r w:rsidRPr="00171B28">
        <w:t>.</w:t>
      </w:r>
    </w:p>
    <w:p w14:paraId="2378D870" w14:textId="77777777" w:rsidR="00171B28" w:rsidRPr="00171B28" w:rsidRDefault="00171B28" w:rsidP="00171B28">
      <w:pPr>
        <w:pStyle w:val="Literaturverzeichnis"/>
      </w:pPr>
      <w:r w:rsidRPr="00171B28">
        <w:t xml:space="preserve">Altıntaş, R. (2001). Cahiliye Arap Toplumunda Kadın. </w:t>
      </w:r>
      <w:r w:rsidRPr="00171B28">
        <w:rPr>
          <w:i/>
          <w:iCs/>
        </w:rPr>
        <w:t>Diyanet İlmi Dergi</w:t>
      </w:r>
      <w:r w:rsidRPr="00171B28">
        <w:t xml:space="preserve">, </w:t>
      </w:r>
      <w:proofErr w:type="gramStart"/>
      <w:r w:rsidRPr="00171B28">
        <w:rPr>
          <w:i/>
          <w:iCs/>
        </w:rPr>
        <w:t>XXXVII</w:t>
      </w:r>
      <w:r w:rsidRPr="00171B28">
        <w:t>(</w:t>
      </w:r>
      <w:proofErr w:type="gramEnd"/>
      <w:r w:rsidRPr="00171B28">
        <w:t>1), 61-86. (TDV İslâm Araştırmaları Merkezi).</w:t>
      </w:r>
    </w:p>
    <w:p w14:paraId="6E1412E2" w14:textId="77777777" w:rsidR="00171B28" w:rsidRPr="00171B28" w:rsidRDefault="00171B28" w:rsidP="00171B28">
      <w:pPr>
        <w:pStyle w:val="Literaturverzeichnis"/>
      </w:pPr>
      <w:proofErr w:type="spellStart"/>
      <w:r w:rsidRPr="00171B28">
        <w:t>Altuner</w:t>
      </w:r>
      <w:proofErr w:type="spellEnd"/>
      <w:r w:rsidRPr="00171B28">
        <w:t xml:space="preserve">, İ. (2018). İslam Felsefe Geleneğinde Kadın İmgesi. </w:t>
      </w:r>
      <w:proofErr w:type="spellStart"/>
      <w:r w:rsidRPr="00171B28">
        <w:rPr>
          <w:i/>
          <w:iCs/>
        </w:rPr>
        <w:t>Ulusararası</w:t>
      </w:r>
      <w:proofErr w:type="spellEnd"/>
      <w:r w:rsidRPr="00171B28">
        <w:rPr>
          <w:i/>
          <w:iCs/>
        </w:rPr>
        <w:t xml:space="preserve"> İslam ve Kadın Çalıştayı</w:t>
      </w:r>
      <w:r w:rsidRPr="00171B28">
        <w:t>, 39-48.</w:t>
      </w:r>
    </w:p>
    <w:p w14:paraId="13254BE9" w14:textId="77777777" w:rsidR="00171B28" w:rsidRPr="00171B28" w:rsidRDefault="00171B28" w:rsidP="00171B28">
      <w:pPr>
        <w:pStyle w:val="Literaturverzeichnis"/>
      </w:pPr>
      <w:r w:rsidRPr="00171B28">
        <w:t xml:space="preserve">Aynur, H. Ş. (2019). AYETLER IŞIĞINDA CAHİLİYEDEN İSLAM’A KIZ ÇOCUĞU/KADIN HAKLARININ TAHVÎLİ. </w:t>
      </w:r>
      <w:proofErr w:type="spellStart"/>
      <w:r w:rsidRPr="00171B28">
        <w:rPr>
          <w:i/>
          <w:iCs/>
        </w:rPr>
        <w:t>Dinbilimleri</w:t>
      </w:r>
      <w:proofErr w:type="spellEnd"/>
      <w:r w:rsidRPr="00171B28">
        <w:rPr>
          <w:i/>
          <w:iCs/>
        </w:rPr>
        <w:t xml:space="preserve"> Akademik Araştırma Dergisi</w:t>
      </w:r>
      <w:r w:rsidRPr="00171B28">
        <w:t xml:space="preserve">, </w:t>
      </w:r>
      <w:r w:rsidRPr="00171B28">
        <w:rPr>
          <w:i/>
          <w:iCs/>
        </w:rPr>
        <w:t>19</w:t>
      </w:r>
      <w:r w:rsidRPr="00171B28">
        <w:t>(2), 479-518. https://doi.org/10.33415/daad.575458</w:t>
      </w:r>
    </w:p>
    <w:p w14:paraId="18DDDB06" w14:textId="77777777" w:rsidR="00171B28" w:rsidRPr="00171B28" w:rsidRDefault="00171B28" w:rsidP="00171B28">
      <w:pPr>
        <w:pStyle w:val="Literaturverzeichnis"/>
      </w:pPr>
      <w:proofErr w:type="spellStart"/>
      <w:r w:rsidRPr="00171B28">
        <w:t>Azertürk</w:t>
      </w:r>
      <w:proofErr w:type="spellEnd"/>
      <w:r w:rsidRPr="00171B28">
        <w:t xml:space="preserve">, S. İ., &amp; Akman, T. (2018). </w:t>
      </w:r>
      <w:proofErr w:type="spellStart"/>
      <w:r w:rsidRPr="00171B28">
        <w:t>Konfuçyüs’ün</w:t>
      </w:r>
      <w:proofErr w:type="spellEnd"/>
      <w:r w:rsidRPr="00171B28">
        <w:t xml:space="preserve"> Kadın Görüşü Üzerine. </w:t>
      </w:r>
      <w:r w:rsidRPr="00171B28">
        <w:rPr>
          <w:i/>
          <w:iCs/>
        </w:rPr>
        <w:t>Eskişehir Osmangazi Üniversitesi Sosyal Bilimler Dergisi</w:t>
      </w:r>
      <w:r w:rsidRPr="00171B28">
        <w:t xml:space="preserve">, </w:t>
      </w:r>
      <w:r w:rsidRPr="00171B28">
        <w:rPr>
          <w:i/>
          <w:iCs/>
        </w:rPr>
        <w:t>19</w:t>
      </w:r>
      <w:r w:rsidRPr="00171B28">
        <w:t>(1), 19-37. https://doi.org/10.17494/ogusbd.456909</w:t>
      </w:r>
    </w:p>
    <w:p w14:paraId="1228438F" w14:textId="77777777" w:rsidR="00171B28" w:rsidRPr="00171B28" w:rsidRDefault="00171B28" w:rsidP="00171B28">
      <w:pPr>
        <w:pStyle w:val="Literaturverzeichnis"/>
      </w:pPr>
      <w:proofErr w:type="spellStart"/>
      <w:r w:rsidRPr="00171B28">
        <w:t>Buliç</w:t>
      </w:r>
      <w:proofErr w:type="spellEnd"/>
      <w:r w:rsidRPr="00171B28">
        <w:t xml:space="preserve">, M. (2017). </w:t>
      </w:r>
      <w:proofErr w:type="spellStart"/>
      <w:r w:rsidRPr="00171B28">
        <w:rPr>
          <w:i/>
          <w:iCs/>
        </w:rPr>
        <w:t>Hıristiyanlık’Taki</w:t>
      </w:r>
      <w:proofErr w:type="spellEnd"/>
      <w:r w:rsidRPr="00171B28">
        <w:rPr>
          <w:i/>
          <w:iCs/>
        </w:rPr>
        <w:t xml:space="preserve"> Kutsal Metinler Işığında Evlilik</w:t>
      </w:r>
      <w:r w:rsidRPr="00171B28">
        <w:t xml:space="preserve"> [</w:t>
      </w:r>
      <w:proofErr w:type="spellStart"/>
      <w:proofErr w:type="gramStart"/>
      <w:r w:rsidRPr="00171B28">
        <w:t>M.Phil</w:t>
      </w:r>
      <w:proofErr w:type="spellEnd"/>
      <w:proofErr w:type="gramEnd"/>
      <w:r w:rsidRPr="00171B28">
        <w:t>.]. https://www.proquest.com/docview/2925402522/abstract/4A79E62C5C234CEFPQ/1</w:t>
      </w:r>
    </w:p>
    <w:p w14:paraId="2DB47847" w14:textId="77777777" w:rsidR="00171B28" w:rsidRPr="00171B28" w:rsidRDefault="00171B28" w:rsidP="00171B28">
      <w:pPr>
        <w:pStyle w:val="Literaturverzeichnis"/>
      </w:pPr>
      <w:proofErr w:type="spellStart"/>
      <w:r w:rsidRPr="00171B28">
        <w:t>Demi̇rcan</w:t>
      </w:r>
      <w:proofErr w:type="spellEnd"/>
      <w:r w:rsidRPr="00171B28">
        <w:t>, A. (</w:t>
      </w:r>
      <w:proofErr w:type="spellStart"/>
      <w:r w:rsidRPr="00171B28">
        <w:t>t.y</w:t>
      </w:r>
      <w:proofErr w:type="spellEnd"/>
      <w:r w:rsidRPr="00171B28">
        <w:t xml:space="preserve">.). </w:t>
      </w:r>
      <w:r w:rsidRPr="00171B28">
        <w:rPr>
          <w:i/>
          <w:iCs/>
        </w:rPr>
        <w:t xml:space="preserve">Cahiliye </w:t>
      </w:r>
      <w:proofErr w:type="gramStart"/>
      <w:r w:rsidRPr="00171B28">
        <w:rPr>
          <w:i/>
          <w:iCs/>
        </w:rPr>
        <w:t>Ve</w:t>
      </w:r>
      <w:proofErr w:type="gramEnd"/>
      <w:r w:rsidRPr="00171B28">
        <w:rPr>
          <w:i/>
          <w:iCs/>
        </w:rPr>
        <w:t xml:space="preserve"> Hz. Peygamber Dönemi Uygulamalarıyla Nikâh</w:t>
      </w:r>
      <w:r w:rsidRPr="00171B28">
        <w:t>.</w:t>
      </w:r>
    </w:p>
    <w:p w14:paraId="7F76FF86" w14:textId="77777777" w:rsidR="00171B28" w:rsidRPr="00171B28" w:rsidRDefault="00171B28" w:rsidP="00171B28">
      <w:pPr>
        <w:pStyle w:val="Literaturverzeichnis"/>
      </w:pPr>
      <w:r w:rsidRPr="00171B28">
        <w:lastRenderedPageBreak/>
        <w:t>Güç, A. (</w:t>
      </w:r>
      <w:proofErr w:type="spellStart"/>
      <w:r w:rsidRPr="00171B28">
        <w:t>t.y</w:t>
      </w:r>
      <w:proofErr w:type="spellEnd"/>
      <w:r w:rsidRPr="00171B28">
        <w:t xml:space="preserve">.). </w:t>
      </w:r>
      <w:r w:rsidRPr="00171B28">
        <w:rPr>
          <w:i/>
          <w:iCs/>
        </w:rPr>
        <w:t>KONFÜÇYÜSÇÜLÜK</w:t>
      </w:r>
      <w:r w:rsidRPr="00171B28">
        <w:t>. TDV İslâm Ansiklopedisi. Geliş tarihi 16 Ocak 2026, gönderen https://islamansiklopedisi.org.tr/konfucyusculuk</w:t>
      </w:r>
    </w:p>
    <w:p w14:paraId="1335BFAD" w14:textId="77777777" w:rsidR="00171B28" w:rsidRPr="00171B28" w:rsidRDefault="00171B28" w:rsidP="00171B28">
      <w:pPr>
        <w:pStyle w:val="Literaturverzeichnis"/>
      </w:pPr>
      <w:r w:rsidRPr="00171B28">
        <w:t xml:space="preserve">Haluk, E. (2001). ROMA KLASİK HUKUK DÖNEMİ’NDE MAL REJİMİ. </w:t>
      </w:r>
      <w:r w:rsidRPr="00171B28">
        <w:rPr>
          <w:i/>
          <w:iCs/>
        </w:rPr>
        <w:t>Ankara Üniversitesi Hukuk Fakültesi Dergisi</w:t>
      </w:r>
      <w:r w:rsidRPr="00171B28">
        <w:t xml:space="preserve">, </w:t>
      </w:r>
      <w:r w:rsidRPr="00171B28">
        <w:rPr>
          <w:i/>
          <w:iCs/>
        </w:rPr>
        <w:t>50</w:t>
      </w:r>
      <w:r w:rsidRPr="00171B28">
        <w:t>(3), 1. https://doi.org/10.1501/Hukfak_0000000588</w:t>
      </w:r>
    </w:p>
    <w:p w14:paraId="10071D67" w14:textId="77777777" w:rsidR="00171B28" w:rsidRPr="00171B28" w:rsidRDefault="00171B28" w:rsidP="00171B28">
      <w:pPr>
        <w:pStyle w:val="Literaturverzeichnis"/>
      </w:pPr>
      <w:r w:rsidRPr="00171B28">
        <w:rPr>
          <w:i/>
          <w:iCs/>
        </w:rPr>
        <w:t>HATUN</w:t>
      </w:r>
      <w:r w:rsidRPr="00171B28">
        <w:t>. (</w:t>
      </w:r>
      <w:proofErr w:type="spellStart"/>
      <w:proofErr w:type="gramStart"/>
      <w:r w:rsidRPr="00171B28">
        <w:t>t.y</w:t>
      </w:r>
      <w:proofErr w:type="spellEnd"/>
      <w:r w:rsidRPr="00171B28">
        <w:t>.</w:t>
      </w:r>
      <w:proofErr w:type="gramEnd"/>
      <w:r w:rsidRPr="00171B28">
        <w:t>). TDV İslâm Ansiklopedisi. Geliş tarihi 09 Mayıs 2026, gönderen https://islamansiklopedisi.org.tr/hatun</w:t>
      </w:r>
    </w:p>
    <w:p w14:paraId="7BFFABD1" w14:textId="77777777" w:rsidR="00171B28" w:rsidRPr="00171B28" w:rsidRDefault="00171B28" w:rsidP="00171B28">
      <w:pPr>
        <w:pStyle w:val="Literaturverzeichnis"/>
      </w:pPr>
      <w:r w:rsidRPr="00171B28">
        <w:rPr>
          <w:i/>
          <w:iCs/>
        </w:rPr>
        <w:t>HAYIZ</w:t>
      </w:r>
      <w:r w:rsidRPr="00171B28">
        <w:t>. (</w:t>
      </w:r>
      <w:proofErr w:type="spellStart"/>
      <w:proofErr w:type="gramStart"/>
      <w:r w:rsidRPr="00171B28">
        <w:t>t.y</w:t>
      </w:r>
      <w:proofErr w:type="spellEnd"/>
      <w:r w:rsidRPr="00171B28">
        <w:t>.</w:t>
      </w:r>
      <w:proofErr w:type="gramEnd"/>
      <w:r w:rsidRPr="00171B28">
        <w:t>). TDV İslâm Ansiklopedisi. Geliş tarihi 08 Mayıs 2026, gönderen https://islamansiklopedisi.org.tr/hayiz</w:t>
      </w:r>
    </w:p>
    <w:p w14:paraId="1A6F61FF" w14:textId="77777777" w:rsidR="00171B28" w:rsidRPr="00171B28" w:rsidRDefault="00171B28" w:rsidP="00171B28">
      <w:pPr>
        <w:pStyle w:val="Literaturverzeichnis"/>
      </w:pPr>
      <w:proofErr w:type="spellStart"/>
      <w:r w:rsidRPr="00171B28">
        <w:t>Hi̇çyilmaz</w:t>
      </w:r>
      <w:proofErr w:type="spellEnd"/>
      <w:r w:rsidRPr="00171B28">
        <w:t xml:space="preserve">, M. İ. (2023). </w:t>
      </w:r>
      <w:r w:rsidRPr="00171B28">
        <w:rPr>
          <w:i/>
          <w:iCs/>
        </w:rPr>
        <w:t>YAHUDİLİK’TE AİLE VE KADIN</w:t>
      </w:r>
      <w:r w:rsidRPr="00171B28">
        <w:t xml:space="preserve"> [Yüksek Lisans Tezi]. Pamukkale üniversitesi.</w:t>
      </w:r>
    </w:p>
    <w:p w14:paraId="3E0F2ADC" w14:textId="77777777" w:rsidR="00171B28" w:rsidRPr="00171B28" w:rsidRDefault="00171B28" w:rsidP="00171B28">
      <w:pPr>
        <w:pStyle w:val="Literaturverzeichnis"/>
      </w:pPr>
      <w:proofErr w:type="spellStart"/>
      <w:r w:rsidRPr="00171B28">
        <w:t>Işikgi̇L</w:t>
      </w:r>
      <w:proofErr w:type="spellEnd"/>
      <w:r w:rsidRPr="00171B28">
        <w:t xml:space="preserve">, S. (2017). </w:t>
      </w:r>
      <w:r w:rsidRPr="00171B28">
        <w:rPr>
          <w:i/>
          <w:iCs/>
        </w:rPr>
        <w:t xml:space="preserve">A </w:t>
      </w:r>
      <w:proofErr w:type="spellStart"/>
      <w:r w:rsidRPr="00171B28">
        <w:rPr>
          <w:i/>
          <w:iCs/>
        </w:rPr>
        <w:t>Study</w:t>
      </w:r>
      <w:proofErr w:type="spellEnd"/>
      <w:r w:rsidRPr="00171B28">
        <w:rPr>
          <w:i/>
          <w:iCs/>
        </w:rPr>
        <w:t xml:space="preserve"> On </w:t>
      </w:r>
      <w:proofErr w:type="spellStart"/>
      <w:r w:rsidRPr="00171B28">
        <w:rPr>
          <w:i/>
          <w:iCs/>
        </w:rPr>
        <w:t>Plato’s</w:t>
      </w:r>
      <w:proofErr w:type="spellEnd"/>
      <w:r w:rsidRPr="00171B28">
        <w:rPr>
          <w:i/>
          <w:iCs/>
        </w:rPr>
        <w:t xml:space="preserve"> </w:t>
      </w:r>
      <w:proofErr w:type="spellStart"/>
      <w:r w:rsidRPr="00171B28">
        <w:rPr>
          <w:i/>
          <w:iCs/>
        </w:rPr>
        <w:t>Atiitude</w:t>
      </w:r>
      <w:proofErr w:type="spellEnd"/>
      <w:r w:rsidRPr="00171B28">
        <w:rPr>
          <w:i/>
          <w:iCs/>
        </w:rPr>
        <w:t xml:space="preserve"> </w:t>
      </w:r>
      <w:proofErr w:type="spellStart"/>
      <w:r w:rsidRPr="00171B28">
        <w:rPr>
          <w:i/>
          <w:iCs/>
        </w:rPr>
        <w:t>Towards</w:t>
      </w:r>
      <w:proofErr w:type="spellEnd"/>
      <w:r w:rsidRPr="00171B28">
        <w:rPr>
          <w:i/>
          <w:iCs/>
        </w:rPr>
        <w:t xml:space="preserve"> </w:t>
      </w:r>
      <w:proofErr w:type="spellStart"/>
      <w:r w:rsidRPr="00171B28">
        <w:rPr>
          <w:i/>
          <w:iCs/>
        </w:rPr>
        <w:t>Women</w:t>
      </w:r>
      <w:proofErr w:type="spellEnd"/>
      <w:r w:rsidRPr="00171B28">
        <w:t>.</w:t>
      </w:r>
    </w:p>
    <w:p w14:paraId="66EC0EBD" w14:textId="77777777" w:rsidR="00171B28" w:rsidRPr="00171B28" w:rsidRDefault="00171B28" w:rsidP="00171B28">
      <w:pPr>
        <w:pStyle w:val="Literaturverzeichnis"/>
      </w:pPr>
      <w:proofErr w:type="spellStart"/>
      <w:r w:rsidRPr="00171B28">
        <w:t>İcten</w:t>
      </w:r>
      <w:proofErr w:type="spellEnd"/>
      <w:r w:rsidRPr="00171B28">
        <w:t xml:space="preserve">, E. (2026). </w:t>
      </w:r>
      <w:proofErr w:type="spellStart"/>
      <w:r w:rsidRPr="00171B28">
        <w:t>Rabbânî</w:t>
      </w:r>
      <w:proofErr w:type="spellEnd"/>
      <w:r w:rsidRPr="00171B28">
        <w:t xml:space="preserve"> Yahudilikte Kadın. </w:t>
      </w:r>
      <w:proofErr w:type="spellStart"/>
      <w:r w:rsidRPr="00171B28">
        <w:rPr>
          <w:i/>
          <w:iCs/>
        </w:rPr>
        <w:t>Gumushane</w:t>
      </w:r>
      <w:proofErr w:type="spellEnd"/>
      <w:r w:rsidRPr="00171B28">
        <w:rPr>
          <w:i/>
          <w:iCs/>
        </w:rPr>
        <w:t xml:space="preserve"> </w:t>
      </w:r>
      <w:proofErr w:type="spellStart"/>
      <w:r w:rsidRPr="00171B28">
        <w:rPr>
          <w:i/>
          <w:iCs/>
        </w:rPr>
        <w:t>Universitesi</w:t>
      </w:r>
      <w:proofErr w:type="spellEnd"/>
      <w:r w:rsidRPr="00171B28">
        <w:rPr>
          <w:i/>
          <w:iCs/>
        </w:rPr>
        <w:t xml:space="preserve"> </w:t>
      </w:r>
      <w:proofErr w:type="spellStart"/>
      <w:r w:rsidRPr="00171B28">
        <w:rPr>
          <w:i/>
          <w:iCs/>
        </w:rPr>
        <w:t>Ilahiyat</w:t>
      </w:r>
      <w:proofErr w:type="spellEnd"/>
      <w:r w:rsidRPr="00171B28">
        <w:rPr>
          <w:i/>
          <w:iCs/>
        </w:rPr>
        <w:t xml:space="preserve"> </w:t>
      </w:r>
      <w:proofErr w:type="spellStart"/>
      <w:r w:rsidRPr="00171B28">
        <w:rPr>
          <w:i/>
          <w:iCs/>
        </w:rPr>
        <w:t>Fakultesi</w:t>
      </w:r>
      <w:proofErr w:type="spellEnd"/>
      <w:r w:rsidRPr="00171B28">
        <w:rPr>
          <w:i/>
          <w:iCs/>
        </w:rPr>
        <w:t xml:space="preserve"> Dergisi (GIFAD)</w:t>
      </w:r>
      <w:r w:rsidRPr="00171B28">
        <w:t xml:space="preserve">, </w:t>
      </w:r>
      <w:r w:rsidRPr="00171B28">
        <w:rPr>
          <w:i/>
          <w:iCs/>
        </w:rPr>
        <w:t>15</w:t>
      </w:r>
      <w:r w:rsidRPr="00171B28">
        <w:t>(29), 162-184. https://doi.org/10.53683/gifad.1766268</w:t>
      </w:r>
    </w:p>
    <w:p w14:paraId="08FE5A2E" w14:textId="77777777" w:rsidR="00171B28" w:rsidRPr="00171B28" w:rsidRDefault="00171B28" w:rsidP="00171B28">
      <w:pPr>
        <w:pStyle w:val="Literaturverzeichnis"/>
      </w:pPr>
      <w:proofErr w:type="spellStart"/>
      <w:r w:rsidRPr="00171B28">
        <w:t>Just</w:t>
      </w:r>
      <w:proofErr w:type="spellEnd"/>
      <w:r w:rsidRPr="00171B28">
        <w:t>, R. (</w:t>
      </w:r>
      <w:proofErr w:type="spellStart"/>
      <w:r w:rsidRPr="00171B28">
        <w:t>with</w:t>
      </w:r>
      <w:proofErr w:type="spellEnd"/>
      <w:r w:rsidRPr="00171B28">
        <w:t xml:space="preserve"> Internet Archive). (1989). </w:t>
      </w:r>
      <w:proofErr w:type="spellStart"/>
      <w:r w:rsidRPr="00171B28">
        <w:rPr>
          <w:i/>
          <w:iCs/>
        </w:rPr>
        <w:t>Women</w:t>
      </w:r>
      <w:proofErr w:type="spellEnd"/>
      <w:r w:rsidRPr="00171B28">
        <w:rPr>
          <w:i/>
          <w:iCs/>
        </w:rPr>
        <w:t xml:space="preserve"> in </w:t>
      </w:r>
      <w:proofErr w:type="spellStart"/>
      <w:r w:rsidRPr="00171B28">
        <w:rPr>
          <w:i/>
          <w:iCs/>
        </w:rPr>
        <w:t>Athenian</w:t>
      </w:r>
      <w:proofErr w:type="spellEnd"/>
      <w:r w:rsidRPr="00171B28">
        <w:rPr>
          <w:i/>
          <w:iCs/>
        </w:rPr>
        <w:t xml:space="preserve"> </w:t>
      </w:r>
      <w:proofErr w:type="spellStart"/>
      <w:r w:rsidRPr="00171B28">
        <w:rPr>
          <w:i/>
          <w:iCs/>
        </w:rPr>
        <w:t>law</w:t>
      </w:r>
      <w:proofErr w:type="spellEnd"/>
      <w:r w:rsidRPr="00171B28">
        <w:rPr>
          <w:i/>
          <w:iCs/>
        </w:rPr>
        <w:t xml:space="preserve"> </w:t>
      </w:r>
      <w:proofErr w:type="spellStart"/>
      <w:r w:rsidRPr="00171B28">
        <w:rPr>
          <w:i/>
          <w:iCs/>
        </w:rPr>
        <w:t>and</w:t>
      </w:r>
      <w:proofErr w:type="spellEnd"/>
      <w:r w:rsidRPr="00171B28">
        <w:rPr>
          <w:i/>
          <w:iCs/>
        </w:rPr>
        <w:t xml:space="preserve"> life</w:t>
      </w:r>
      <w:r w:rsidRPr="00171B28">
        <w:t xml:space="preserve">. </w:t>
      </w:r>
      <w:proofErr w:type="spellStart"/>
      <w:proofErr w:type="gramStart"/>
      <w:r w:rsidRPr="00171B28">
        <w:t>London</w:t>
      </w:r>
      <w:proofErr w:type="spellEnd"/>
      <w:r w:rsidRPr="00171B28">
        <w:t> ;</w:t>
      </w:r>
      <w:proofErr w:type="gramEnd"/>
      <w:r w:rsidRPr="00171B28">
        <w:t xml:space="preserve"> New York : </w:t>
      </w:r>
      <w:proofErr w:type="spellStart"/>
      <w:r w:rsidRPr="00171B28">
        <w:t>Routledge</w:t>
      </w:r>
      <w:proofErr w:type="spellEnd"/>
      <w:r w:rsidRPr="00171B28">
        <w:t>. http://archive.org/details/womeninathenianl00just</w:t>
      </w:r>
    </w:p>
    <w:p w14:paraId="20D6514F" w14:textId="77777777" w:rsidR="00171B28" w:rsidRPr="00171B28" w:rsidRDefault="00171B28" w:rsidP="00171B28">
      <w:pPr>
        <w:pStyle w:val="Literaturverzeichnis"/>
      </w:pPr>
      <w:proofErr w:type="spellStart"/>
      <w:r w:rsidRPr="00171B28">
        <w:t>Mandaloğlu</w:t>
      </w:r>
      <w:proofErr w:type="spellEnd"/>
      <w:r w:rsidRPr="00171B28">
        <w:t xml:space="preserve">, M. (2013). </w:t>
      </w:r>
      <w:proofErr w:type="spellStart"/>
      <w:r w:rsidRPr="00171B28">
        <w:t>İslamiyetten</w:t>
      </w:r>
      <w:proofErr w:type="spellEnd"/>
      <w:r w:rsidRPr="00171B28">
        <w:t xml:space="preserve"> Önce Türklerde Aile Hukuku. </w:t>
      </w:r>
      <w:r w:rsidRPr="00171B28">
        <w:rPr>
          <w:i/>
          <w:iCs/>
        </w:rPr>
        <w:t>Türkiyat Araştırmaları Dergisi</w:t>
      </w:r>
      <w:r w:rsidRPr="00171B28">
        <w:t>, (33), 133-159. (TDV İslâm Araştırmaları Merkezi).</w:t>
      </w:r>
    </w:p>
    <w:p w14:paraId="58F9F8D2" w14:textId="77777777" w:rsidR="00171B28" w:rsidRPr="00171B28" w:rsidRDefault="00171B28" w:rsidP="00171B28">
      <w:pPr>
        <w:pStyle w:val="Literaturverzeichnis"/>
      </w:pPr>
      <w:proofErr w:type="spellStart"/>
      <w:r w:rsidRPr="00171B28">
        <w:t>Mandaloğlu</w:t>
      </w:r>
      <w:proofErr w:type="spellEnd"/>
      <w:r w:rsidRPr="00171B28">
        <w:t xml:space="preserve">, M. (2022). ESKİ TÜRKLERDE AİLE VE EVLİLİK ANLAYIŞI. </w:t>
      </w:r>
      <w:r w:rsidRPr="00171B28">
        <w:rPr>
          <w:i/>
          <w:iCs/>
        </w:rPr>
        <w:t>Genel Türk Tarihi Araştırmaları Dergisi</w:t>
      </w:r>
      <w:r w:rsidRPr="00171B28">
        <w:t xml:space="preserve">, </w:t>
      </w:r>
      <w:r w:rsidRPr="00171B28">
        <w:rPr>
          <w:i/>
          <w:iCs/>
        </w:rPr>
        <w:t>4</w:t>
      </w:r>
      <w:r w:rsidRPr="00171B28">
        <w:t>(8), 481-498. https://doi.org/10.53718/gttad.1067665</w:t>
      </w:r>
    </w:p>
    <w:p w14:paraId="08CB882E" w14:textId="77777777" w:rsidR="00171B28" w:rsidRPr="00171B28" w:rsidRDefault="00171B28" w:rsidP="00171B28">
      <w:pPr>
        <w:pStyle w:val="Literaturverzeichnis"/>
      </w:pPr>
      <w:proofErr w:type="gramStart"/>
      <w:r w:rsidRPr="00171B28">
        <w:rPr>
          <w:i/>
          <w:iCs/>
        </w:rPr>
        <w:t>NIDDAH -</w:t>
      </w:r>
      <w:proofErr w:type="gramEnd"/>
      <w:r w:rsidRPr="00171B28">
        <w:rPr>
          <w:i/>
          <w:iCs/>
        </w:rPr>
        <w:t xml:space="preserve"> JewishEncyclopedia.com</w:t>
      </w:r>
      <w:r w:rsidRPr="00171B28">
        <w:t>. (</w:t>
      </w:r>
      <w:proofErr w:type="spellStart"/>
      <w:proofErr w:type="gramStart"/>
      <w:r w:rsidRPr="00171B28">
        <w:t>t.y</w:t>
      </w:r>
      <w:proofErr w:type="spellEnd"/>
      <w:r w:rsidRPr="00171B28">
        <w:t>.</w:t>
      </w:r>
      <w:proofErr w:type="gramEnd"/>
      <w:r w:rsidRPr="00171B28">
        <w:t>). Geliş tarihi 08 Mayıs 2026, gönderen https://www.jewishencyclopedia.com/articles/11529-niddah</w:t>
      </w:r>
    </w:p>
    <w:p w14:paraId="0333F1CE" w14:textId="77777777" w:rsidR="00171B28" w:rsidRPr="00171B28" w:rsidRDefault="00171B28" w:rsidP="00171B28">
      <w:pPr>
        <w:pStyle w:val="Literaturverzeichnis"/>
      </w:pPr>
      <w:r w:rsidRPr="00171B28">
        <w:lastRenderedPageBreak/>
        <w:t>Patterson, C. (</w:t>
      </w:r>
      <w:proofErr w:type="spellStart"/>
      <w:r w:rsidRPr="00171B28">
        <w:t>with</w:t>
      </w:r>
      <w:proofErr w:type="spellEnd"/>
      <w:r w:rsidRPr="00171B28">
        <w:t xml:space="preserve"> Internet Archive). (1998). </w:t>
      </w:r>
      <w:proofErr w:type="spellStart"/>
      <w:r w:rsidRPr="00171B28">
        <w:rPr>
          <w:i/>
          <w:iCs/>
        </w:rPr>
        <w:t>The</w:t>
      </w:r>
      <w:proofErr w:type="spellEnd"/>
      <w:r w:rsidRPr="00171B28">
        <w:rPr>
          <w:i/>
          <w:iCs/>
        </w:rPr>
        <w:t xml:space="preserve"> </w:t>
      </w:r>
      <w:proofErr w:type="spellStart"/>
      <w:r w:rsidRPr="00171B28">
        <w:rPr>
          <w:i/>
          <w:iCs/>
        </w:rPr>
        <w:t>family</w:t>
      </w:r>
      <w:proofErr w:type="spellEnd"/>
      <w:r w:rsidRPr="00171B28">
        <w:rPr>
          <w:i/>
          <w:iCs/>
        </w:rPr>
        <w:t xml:space="preserve"> in </w:t>
      </w:r>
      <w:proofErr w:type="spellStart"/>
      <w:r w:rsidRPr="00171B28">
        <w:rPr>
          <w:i/>
          <w:iCs/>
        </w:rPr>
        <w:t>Greek</w:t>
      </w:r>
      <w:proofErr w:type="spellEnd"/>
      <w:r w:rsidRPr="00171B28">
        <w:rPr>
          <w:i/>
          <w:iCs/>
        </w:rPr>
        <w:t xml:space="preserve"> </w:t>
      </w:r>
      <w:proofErr w:type="spellStart"/>
      <w:r w:rsidRPr="00171B28">
        <w:rPr>
          <w:i/>
          <w:iCs/>
        </w:rPr>
        <w:t>history</w:t>
      </w:r>
      <w:proofErr w:type="spellEnd"/>
      <w:r w:rsidRPr="00171B28">
        <w:t xml:space="preserve">. Cambridge, </w:t>
      </w:r>
      <w:proofErr w:type="spellStart"/>
      <w:r w:rsidRPr="00171B28">
        <w:t>Mass</w:t>
      </w:r>
      <w:proofErr w:type="spellEnd"/>
      <w:proofErr w:type="gramStart"/>
      <w:r w:rsidRPr="00171B28">
        <w:t>. :</w:t>
      </w:r>
      <w:proofErr w:type="gramEnd"/>
      <w:r w:rsidRPr="00171B28">
        <w:t xml:space="preserve"> Harvard </w:t>
      </w:r>
      <w:proofErr w:type="spellStart"/>
      <w:r w:rsidRPr="00171B28">
        <w:t>University</w:t>
      </w:r>
      <w:proofErr w:type="spellEnd"/>
      <w:r w:rsidRPr="00171B28">
        <w:t xml:space="preserve"> </w:t>
      </w:r>
      <w:proofErr w:type="spellStart"/>
      <w:r w:rsidRPr="00171B28">
        <w:t>Press</w:t>
      </w:r>
      <w:proofErr w:type="spellEnd"/>
      <w:r w:rsidRPr="00171B28">
        <w:t>. http://archive.org/details/familyingreekhis0000patt</w:t>
      </w:r>
    </w:p>
    <w:p w14:paraId="7AD01BF0" w14:textId="77777777" w:rsidR="00171B28" w:rsidRPr="00171B28" w:rsidRDefault="00171B28" w:rsidP="00171B28">
      <w:pPr>
        <w:pStyle w:val="Literaturverzeichnis"/>
      </w:pPr>
      <w:proofErr w:type="spellStart"/>
      <w:r w:rsidRPr="00171B28">
        <w:t>Sünbül</w:t>
      </w:r>
      <w:proofErr w:type="spellEnd"/>
      <w:r w:rsidRPr="00171B28">
        <w:t xml:space="preserve">, N. (2020). ESKİ MEZOPOTAMYA HUKUKUNDA AİLE VE EVLİLİK. </w:t>
      </w:r>
      <w:proofErr w:type="gramStart"/>
      <w:r w:rsidRPr="00171B28">
        <w:rPr>
          <w:i/>
          <w:iCs/>
        </w:rPr>
        <w:t>OANNES -</w:t>
      </w:r>
      <w:proofErr w:type="gramEnd"/>
      <w:r w:rsidRPr="00171B28">
        <w:rPr>
          <w:i/>
          <w:iCs/>
        </w:rPr>
        <w:t xml:space="preserve"> International </w:t>
      </w:r>
      <w:proofErr w:type="spellStart"/>
      <w:r w:rsidRPr="00171B28">
        <w:rPr>
          <w:i/>
          <w:iCs/>
        </w:rPr>
        <w:t>Journal</w:t>
      </w:r>
      <w:proofErr w:type="spellEnd"/>
      <w:r w:rsidRPr="00171B28">
        <w:rPr>
          <w:i/>
          <w:iCs/>
        </w:rPr>
        <w:t xml:space="preserve"> of Ancient </w:t>
      </w:r>
      <w:proofErr w:type="spellStart"/>
      <w:r w:rsidRPr="00171B28">
        <w:rPr>
          <w:i/>
          <w:iCs/>
        </w:rPr>
        <w:t>History</w:t>
      </w:r>
      <w:proofErr w:type="spellEnd"/>
      <w:r w:rsidRPr="00171B28">
        <w:t xml:space="preserve">, </w:t>
      </w:r>
      <w:r w:rsidRPr="00171B28">
        <w:rPr>
          <w:i/>
          <w:iCs/>
        </w:rPr>
        <w:t>2</w:t>
      </w:r>
      <w:r w:rsidRPr="00171B28">
        <w:t>(1), 99-113.</w:t>
      </w:r>
    </w:p>
    <w:p w14:paraId="1CCCB78F" w14:textId="77777777" w:rsidR="00171B28" w:rsidRPr="00171B28" w:rsidRDefault="00171B28" w:rsidP="00171B28">
      <w:pPr>
        <w:pStyle w:val="Literaturverzeichnis"/>
      </w:pPr>
      <w:proofErr w:type="spellStart"/>
      <w:r w:rsidRPr="00171B28">
        <w:t>Şahi̇n</w:t>
      </w:r>
      <w:proofErr w:type="spellEnd"/>
      <w:r w:rsidRPr="00171B28">
        <w:t xml:space="preserve">, H. (2016). İslâmiyet Öncesi Dönemde </w:t>
      </w:r>
      <w:proofErr w:type="spellStart"/>
      <w:r w:rsidRPr="00171B28">
        <w:t>Yahûdi</w:t>
      </w:r>
      <w:proofErr w:type="spellEnd"/>
      <w:r w:rsidRPr="00171B28">
        <w:t xml:space="preserve"> </w:t>
      </w:r>
      <w:proofErr w:type="gramStart"/>
      <w:r w:rsidRPr="00171B28">
        <w:t>Ve</w:t>
      </w:r>
      <w:proofErr w:type="gramEnd"/>
      <w:r w:rsidRPr="00171B28">
        <w:t xml:space="preserve"> Hıristiyanlarda Nikâh Algısı. </w:t>
      </w:r>
      <w:r w:rsidRPr="00171B28">
        <w:rPr>
          <w:i/>
          <w:iCs/>
        </w:rPr>
        <w:t>İslam Bilimleri Araştırmaları Dergisi</w:t>
      </w:r>
      <w:r w:rsidRPr="00171B28">
        <w:t>, (2), 118-147.</w:t>
      </w:r>
    </w:p>
    <w:p w14:paraId="74AAAC9B" w14:textId="77777777" w:rsidR="00171B28" w:rsidRPr="00171B28" w:rsidRDefault="00171B28" w:rsidP="00171B28">
      <w:pPr>
        <w:pStyle w:val="Literaturverzeichnis"/>
      </w:pPr>
      <w:proofErr w:type="spellStart"/>
      <w:r w:rsidRPr="00171B28">
        <w:t>Ullah</w:t>
      </w:r>
      <w:proofErr w:type="spellEnd"/>
      <w:r w:rsidRPr="00171B28">
        <w:t xml:space="preserve">, N. (2018). </w:t>
      </w:r>
      <w:r w:rsidRPr="00171B28">
        <w:rPr>
          <w:i/>
          <w:iCs/>
        </w:rPr>
        <w:t xml:space="preserve">Yahudi Hukukunda Boşanma ve </w:t>
      </w:r>
      <w:proofErr w:type="spellStart"/>
      <w:r w:rsidRPr="00171B28">
        <w:rPr>
          <w:i/>
          <w:iCs/>
        </w:rPr>
        <w:t>Aguna</w:t>
      </w:r>
      <w:proofErr w:type="spellEnd"/>
      <w:r w:rsidRPr="00171B28">
        <w:rPr>
          <w:i/>
          <w:iCs/>
        </w:rPr>
        <w:t xml:space="preserve"> Problemi: VIII, 60 y.</w:t>
      </w:r>
      <w:r w:rsidRPr="00171B28">
        <w:t xml:space="preserve"> [</w:t>
      </w:r>
      <w:proofErr w:type="spellStart"/>
      <w:r w:rsidRPr="00171B28">
        <w:t>Thesis</w:t>
      </w:r>
      <w:proofErr w:type="spellEnd"/>
      <w:r w:rsidRPr="00171B28">
        <w:t>, İstanbul Üniversitesi]. (TDV İslâm Araştırmaları Merkezi). https://kutuphane.isam.org.tr/detayilhtezt.php?navdil=eng&amp;tidno=21707</w:t>
      </w:r>
    </w:p>
    <w:p w14:paraId="52ACB756" w14:textId="77777777" w:rsidR="00171B28" w:rsidRPr="00171B28" w:rsidRDefault="00171B28" w:rsidP="00171B28">
      <w:pPr>
        <w:pStyle w:val="Literaturverzeichnis"/>
      </w:pPr>
      <w:r w:rsidRPr="00171B28">
        <w:t xml:space="preserve">Yavuz, K., &amp; Ertem, A. (2021). TÜRK TOPLUMUNDA KADININ STATÜSÜNE GENEL BİR BAKIŞ. </w:t>
      </w:r>
      <w:r w:rsidRPr="00171B28">
        <w:rPr>
          <w:i/>
          <w:iCs/>
        </w:rPr>
        <w:t>Sosyal Araştırmalar ve Yönetim Dergisi</w:t>
      </w:r>
      <w:r w:rsidRPr="00171B28">
        <w:t>, (1), 69-82. https://doi.org/10.35375/sayod.906552</w:t>
      </w:r>
    </w:p>
    <w:p w14:paraId="2058E107" w14:textId="74F06A2B" w:rsidR="00B8798D" w:rsidRDefault="00B8798D" w:rsidP="00B8798D">
      <w:pPr>
        <w:jc w:val="both"/>
      </w:pPr>
      <w:r>
        <w:fldChar w:fldCharType="end"/>
      </w:r>
    </w:p>
    <w:p w14:paraId="0CBD8710" w14:textId="77777777" w:rsidR="00B8798D" w:rsidRDefault="00B8798D" w:rsidP="00B8798D">
      <w:pPr>
        <w:jc w:val="both"/>
      </w:pPr>
    </w:p>
    <w:p w14:paraId="71DCEA6E" w14:textId="77777777" w:rsidR="00AF604A" w:rsidRDefault="00AF604A"/>
    <w:sectPr w:rsidR="00AF604A">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6AE5F" w14:textId="77777777" w:rsidR="00D6551A" w:rsidRDefault="00D6551A" w:rsidP="00B8798D">
      <w:pPr>
        <w:spacing w:after="0" w:line="240" w:lineRule="auto"/>
      </w:pPr>
      <w:r>
        <w:separator/>
      </w:r>
    </w:p>
  </w:endnote>
  <w:endnote w:type="continuationSeparator" w:id="0">
    <w:p w14:paraId="6E932BB7" w14:textId="77777777" w:rsidR="00D6551A" w:rsidRDefault="00D6551A" w:rsidP="00B87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377D8" w14:textId="77777777" w:rsidR="00D6551A" w:rsidRDefault="00D6551A" w:rsidP="00B8798D">
      <w:pPr>
        <w:spacing w:after="0" w:line="240" w:lineRule="auto"/>
      </w:pPr>
      <w:r>
        <w:separator/>
      </w:r>
    </w:p>
  </w:footnote>
  <w:footnote w:type="continuationSeparator" w:id="0">
    <w:p w14:paraId="3DE98614" w14:textId="77777777" w:rsidR="00D6551A" w:rsidRDefault="00D6551A" w:rsidP="00B8798D">
      <w:pPr>
        <w:spacing w:after="0" w:line="240" w:lineRule="auto"/>
      </w:pPr>
      <w:r>
        <w:continuationSeparator/>
      </w:r>
    </w:p>
  </w:footnote>
  <w:footnote w:id="1">
    <w:p w14:paraId="5DF32928" w14:textId="77777777" w:rsidR="00B8798D" w:rsidRPr="00B8798D" w:rsidRDefault="00B8798D" w:rsidP="00B8798D">
      <w:pPr>
        <w:pStyle w:val="Funotentext"/>
        <w:rPr>
          <w:lang w:val="en-US"/>
        </w:rPr>
      </w:pPr>
      <w:r>
        <w:rPr>
          <w:rStyle w:val="Funotenzeichen"/>
        </w:rPr>
        <w:footnoteRef/>
      </w:r>
      <w:r>
        <w:t xml:space="preserve"> </w:t>
      </w:r>
      <w:r>
        <w:fldChar w:fldCharType="begin"/>
      </w:r>
      <w:r>
        <w:instrText xml:space="preserve"> ADDIN ZOTERO_ITEM CSL_CITATION {"citationID":"Zt3QYedl","properties":{"unsorted":false,"formattedCitation":"({\\i{}NIDDAH - JewishEncyclopedia.com}, t.y.)","plainCitation":"(NIDDAH - JewishEncyclopedia.com, t.y.)","noteIndex":1},"citationItems":[{"id":838,"uris":["http://zotero.org/users/19130126/items/FUJF7NQH"],"itemData":{"id":838,"type":"webpage","title":"NIDDAH - JewishEncyclopedia.com","URL":"https://www.jewishencyclopedia.com/articles/11529-niddah","accessed":{"date-parts":[["2026",5,8]]}}}],"schema":"https://github.com/citation-style-language/schema/raw/master/csl-citation.json"} </w:instrText>
      </w:r>
      <w:r>
        <w:fldChar w:fldCharType="separate"/>
      </w:r>
      <w:r w:rsidRPr="00764C54">
        <w:rPr>
          <w:rFonts w:ascii="Times New Roman" w:hAnsi="Times New Roman" w:cs="Times New Roman"/>
          <w:kern w:val="0"/>
        </w:rPr>
        <w:t>(</w:t>
      </w:r>
      <w:proofErr w:type="gramStart"/>
      <w:r w:rsidRPr="00764C54">
        <w:rPr>
          <w:rFonts w:ascii="Times New Roman" w:hAnsi="Times New Roman" w:cs="Times New Roman"/>
          <w:i/>
          <w:iCs/>
          <w:kern w:val="0"/>
        </w:rPr>
        <w:t>NIDDAH -</w:t>
      </w:r>
      <w:proofErr w:type="gramEnd"/>
      <w:r w:rsidRPr="00764C54">
        <w:rPr>
          <w:rFonts w:ascii="Times New Roman" w:hAnsi="Times New Roman" w:cs="Times New Roman"/>
          <w:i/>
          <w:iCs/>
          <w:kern w:val="0"/>
        </w:rPr>
        <w:t xml:space="preserve"> JewishEncyclopedia.com</w:t>
      </w:r>
      <w:r w:rsidRPr="00764C54">
        <w:rPr>
          <w:rFonts w:ascii="Times New Roman" w:hAnsi="Times New Roman" w:cs="Times New Roman"/>
          <w:kern w:val="0"/>
        </w:rPr>
        <w:t xml:space="preserve">, </w:t>
      </w:r>
      <w:proofErr w:type="spellStart"/>
      <w:r w:rsidRPr="00764C54">
        <w:rPr>
          <w:rFonts w:ascii="Times New Roman" w:hAnsi="Times New Roman" w:cs="Times New Roman"/>
          <w:kern w:val="0"/>
        </w:rPr>
        <w:t>t.y</w:t>
      </w:r>
      <w:proofErr w:type="spellEnd"/>
      <w:r w:rsidRPr="00764C54">
        <w:rPr>
          <w:rFonts w:ascii="Times New Roman" w:hAnsi="Times New Roman" w:cs="Times New Roman"/>
          <w:kern w:val="0"/>
        </w:rPr>
        <w:t>.)</w:t>
      </w:r>
      <w:r>
        <w:fldChar w:fldCharType="end"/>
      </w:r>
    </w:p>
  </w:footnote>
  <w:footnote w:id="2">
    <w:p w14:paraId="547ED426" w14:textId="77777777" w:rsidR="00B8798D" w:rsidRPr="00B8798D" w:rsidRDefault="00B8798D" w:rsidP="00B8798D">
      <w:pPr>
        <w:pStyle w:val="Funotentext"/>
        <w:rPr>
          <w:lang w:val="en-US"/>
        </w:rPr>
      </w:pPr>
      <w:r>
        <w:rPr>
          <w:rStyle w:val="Funotenzeichen"/>
        </w:rPr>
        <w:footnoteRef/>
      </w:r>
      <w:r>
        <w:t xml:space="preserve"> </w:t>
      </w:r>
      <w:proofErr w:type="spellStart"/>
      <w:r>
        <w:t>Hucurat</w:t>
      </w:r>
      <w:proofErr w:type="spellEnd"/>
      <w:r>
        <w:t xml:space="preserve"> Suresi 13: “</w:t>
      </w:r>
      <w:r w:rsidRPr="00CE258A">
        <w:rPr>
          <w:i/>
          <w:iCs/>
        </w:rPr>
        <w:t>Ey insanlar! Şüphesiz sizi bir erkek ile bir dişiden yarattık, tanışasınız diye sizi kavim ve kabilelere ayırdık, Allah katında en değerli olanınız O’na itaatsizlikten en fazla sakınanınızdır.</w:t>
      </w:r>
      <w:r>
        <w:rPr>
          <w:i/>
          <w:iCs/>
        </w:rPr>
        <w:t>”</w:t>
      </w:r>
    </w:p>
  </w:footnote>
  <w:footnote w:id="3">
    <w:p w14:paraId="209D8FDF" w14:textId="77777777" w:rsidR="00B8798D" w:rsidRPr="00866ECA" w:rsidRDefault="00B8798D" w:rsidP="00B8798D">
      <w:pPr>
        <w:pStyle w:val="Funotentext"/>
        <w:rPr>
          <w:lang w:val="de-DE"/>
        </w:rPr>
      </w:pPr>
      <w:r>
        <w:rPr>
          <w:rStyle w:val="Funotenzeichen"/>
        </w:rPr>
        <w:footnoteRef/>
      </w:r>
      <w:r>
        <w:t xml:space="preserve"> Bkz. Nisa Suresi 19: “</w:t>
      </w:r>
      <w:r w:rsidRPr="00866ECA">
        <w:rPr>
          <w:i/>
          <w:iCs/>
        </w:rPr>
        <w:t>Ey iman edenler! Kadınlara zorla vâris olmanız size helâl değildir. Apaçık bir edepsizlik yapmadıkça, onlara verdiğinizin bir kısmını ele geçirmek için -evlenme ve boşanma konusunda- engel çıkarmayın. Onlarla iyi geçinin.</w:t>
      </w:r>
      <w:r>
        <w:rPr>
          <w:i/>
          <w:iC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98D"/>
    <w:rsid w:val="000742BF"/>
    <w:rsid w:val="000F0890"/>
    <w:rsid w:val="00111E9E"/>
    <w:rsid w:val="00171B28"/>
    <w:rsid w:val="00193B3D"/>
    <w:rsid w:val="004416F2"/>
    <w:rsid w:val="004631FD"/>
    <w:rsid w:val="00560E6B"/>
    <w:rsid w:val="007904F3"/>
    <w:rsid w:val="009C7E23"/>
    <w:rsid w:val="00A76AD1"/>
    <w:rsid w:val="00AF604A"/>
    <w:rsid w:val="00AF6A94"/>
    <w:rsid w:val="00B8798D"/>
    <w:rsid w:val="00D10AA2"/>
    <w:rsid w:val="00D6551A"/>
    <w:rsid w:val="00EF2A3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CDD22"/>
  <w15:chartTrackingRefBased/>
  <w15:docId w15:val="{BEA36EBD-698B-451A-9FEA-FD3E7A980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98D"/>
    <w:pPr>
      <w:spacing w:line="360" w:lineRule="auto"/>
    </w:pPr>
    <w:rPr>
      <w:rFonts w:asciiTheme="majorBidi" w:hAnsiTheme="majorBidi"/>
    </w:rPr>
  </w:style>
  <w:style w:type="paragraph" w:styleId="berschrift1">
    <w:name w:val="heading 1"/>
    <w:basedOn w:val="Standard"/>
    <w:next w:val="Standard"/>
    <w:link w:val="berschrift1Zchn"/>
    <w:autoRedefine/>
    <w:uiPriority w:val="9"/>
    <w:qFormat/>
    <w:rsid w:val="00D10AA2"/>
    <w:pPr>
      <w:keepNext/>
      <w:keepLines/>
      <w:spacing w:before="360" w:after="80"/>
      <w:outlineLvl w:val="0"/>
    </w:pPr>
    <w:rPr>
      <w:rFonts w:eastAsiaTheme="majorEastAsia" w:cstheme="majorBidi"/>
      <w:sz w:val="32"/>
      <w:szCs w:val="40"/>
      <w:lang w:val="de-DE"/>
    </w:rPr>
  </w:style>
  <w:style w:type="paragraph" w:styleId="berschrift2">
    <w:name w:val="heading 2"/>
    <w:basedOn w:val="Standard"/>
    <w:next w:val="Standard"/>
    <w:link w:val="berschrift2Zchn"/>
    <w:autoRedefine/>
    <w:uiPriority w:val="9"/>
    <w:unhideWhenUsed/>
    <w:qFormat/>
    <w:rsid w:val="004416F2"/>
    <w:pPr>
      <w:keepNext/>
      <w:keepLines/>
      <w:spacing w:before="160" w:after="80"/>
      <w:outlineLvl w:val="1"/>
    </w:pPr>
    <w:rPr>
      <w:rFonts w:eastAsiaTheme="majorEastAsia" w:cstheme="majorBidi"/>
      <w:sz w:val="28"/>
      <w:szCs w:val="32"/>
    </w:rPr>
  </w:style>
  <w:style w:type="paragraph" w:styleId="berschrift3">
    <w:name w:val="heading 3"/>
    <w:basedOn w:val="Standard"/>
    <w:next w:val="Standard"/>
    <w:link w:val="berschrift3Zchn"/>
    <w:autoRedefine/>
    <w:uiPriority w:val="9"/>
    <w:unhideWhenUsed/>
    <w:qFormat/>
    <w:rsid w:val="00AF604A"/>
    <w:pPr>
      <w:keepNext/>
      <w:keepLines/>
      <w:spacing w:before="160" w:after="80"/>
      <w:outlineLvl w:val="2"/>
    </w:pPr>
    <w:rPr>
      <w:rFonts w:eastAsiaTheme="majorEastAsia" w:cstheme="majorBidi"/>
      <w:color w:val="000000" w:themeColor="text1"/>
      <w:szCs w:val="28"/>
    </w:rPr>
  </w:style>
  <w:style w:type="paragraph" w:styleId="berschrift4">
    <w:name w:val="heading 4"/>
    <w:basedOn w:val="Standard"/>
    <w:next w:val="Standard"/>
    <w:link w:val="berschrift4Zchn"/>
    <w:autoRedefine/>
    <w:uiPriority w:val="9"/>
    <w:unhideWhenUsed/>
    <w:qFormat/>
    <w:rsid w:val="004416F2"/>
    <w:pPr>
      <w:keepNext/>
      <w:keepLines/>
      <w:spacing w:before="80" w:after="40"/>
      <w:outlineLvl w:val="3"/>
    </w:pPr>
    <w:rPr>
      <w:rFonts w:eastAsiaTheme="majorEastAsia" w:cstheme="majorBidi"/>
      <w:i/>
      <w:iCs/>
      <w:color w:val="000000" w:themeColor="text1"/>
      <w:sz w:val="26"/>
    </w:rPr>
  </w:style>
  <w:style w:type="paragraph" w:styleId="berschrift5">
    <w:name w:val="heading 5"/>
    <w:basedOn w:val="Standard"/>
    <w:next w:val="Standard"/>
    <w:link w:val="berschrift5Zchn"/>
    <w:uiPriority w:val="9"/>
    <w:semiHidden/>
    <w:unhideWhenUsed/>
    <w:qFormat/>
    <w:rsid w:val="00B8798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B8798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8798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8798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8798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AF604A"/>
    <w:rPr>
      <w:rFonts w:asciiTheme="majorBidi" w:eastAsiaTheme="majorEastAsia" w:hAnsiTheme="majorBidi" w:cstheme="majorBidi"/>
      <w:color w:val="000000" w:themeColor="text1"/>
      <w:szCs w:val="28"/>
    </w:rPr>
  </w:style>
  <w:style w:type="character" w:customStyle="1" w:styleId="berschrift2Zchn">
    <w:name w:val="Überschrift 2 Zchn"/>
    <w:basedOn w:val="Absatz-Standardschriftart"/>
    <w:link w:val="berschrift2"/>
    <w:uiPriority w:val="9"/>
    <w:rsid w:val="004416F2"/>
    <w:rPr>
      <w:rFonts w:asciiTheme="majorBidi" w:eastAsiaTheme="majorEastAsia" w:hAnsiTheme="majorBidi" w:cstheme="majorBidi"/>
      <w:sz w:val="28"/>
      <w:szCs w:val="32"/>
    </w:rPr>
  </w:style>
  <w:style w:type="character" w:customStyle="1" w:styleId="berschrift4Zchn">
    <w:name w:val="Überschrift 4 Zchn"/>
    <w:basedOn w:val="Absatz-Standardschriftart"/>
    <w:link w:val="berschrift4"/>
    <w:uiPriority w:val="9"/>
    <w:rsid w:val="004416F2"/>
    <w:rPr>
      <w:rFonts w:asciiTheme="majorBidi" w:eastAsiaTheme="majorEastAsia" w:hAnsiTheme="majorBidi" w:cstheme="majorBidi"/>
      <w:i/>
      <w:iCs/>
      <w:color w:val="000000" w:themeColor="text1"/>
      <w:sz w:val="26"/>
    </w:rPr>
  </w:style>
  <w:style w:type="character" w:customStyle="1" w:styleId="berschrift1Zchn">
    <w:name w:val="Überschrift 1 Zchn"/>
    <w:basedOn w:val="Absatz-Standardschriftart"/>
    <w:link w:val="berschrift1"/>
    <w:uiPriority w:val="9"/>
    <w:rsid w:val="00D10AA2"/>
    <w:rPr>
      <w:rFonts w:asciiTheme="majorBidi" w:eastAsiaTheme="majorEastAsia" w:hAnsiTheme="majorBidi" w:cstheme="majorBidi"/>
      <w:sz w:val="32"/>
      <w:szCs w:val="40"/>
      <w:lang w:val="de-DE"/>
    </w:rPr>
  </w:style>
  <w:style w:type="character" w:customStyle="1" w:styleId="berschrift5Zchn">
    <w:name w:val="Überschrift 5 Zchn"/>
    <w:basedOn w:val="Absatz-Standardschriftart"/>
    <w:link w:val="berschrift5"/>
    <w:uiPriority w:val="9"/>
    <w:semiHidden/>
    <w:rsid w:val="00B8798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8798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8798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8798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8798D"/>
    <w:rPr>
      <w:rFonts w:eastAsiaTheme="majorEastAsia" w:cstheme="majorBidi"/>
      <w:color w:val="272727" w:themeColor="text1" w:themeTint="D8"/>
    </w:rPr>
  </w:style>
  <w:style w:type="paragraph" w:styleId="Titel">
    <w:name w:val="Title"/>
    <w:basedOn w:val="Standard"/>
    <w:next w:val="Standard"/>
    <w:link w:val="TitelZchn"/>
    <w:uiPriority w:val="10"/>
    <w:qFormat/>
    <w:rsid w:val="00B87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8798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8798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8798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8798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8798D"/>
    <w:rPr>
      <w:rFonts w:asciiTheme="majorBidi" w:hAnsiTheme="majorBidi"/>
      <w:i/>
      <w:iCs/>
      <w:color w:val="404040" w:themeColor="text1" w:themeTint="BF"/>
    </w:rPr>
  </w:style>
  <w:style w:type="paragraph" w:styleId="Listenabsatz">
    <w:name w:val="List Paragraph"/>
    <w:basedOn w:val="Standard"/>
    <w:uiPriority w:val="34"/>
    <w:qFormat/>
    <w:rsid w:val="00B8798D"/>
    <w:pPr>
      <w:ind w:left="720"/>
      <w:contextualSpacing/>
    </w:pPr>
  </w:style>
  <w:style w:type="character" w:styleId="IntensiveHervorhebung">
    <w:name w:val="Intense Emphasis"/>
    <w:basedOn w:val="Absatz-Standardschriftart"/>
    <w:uiPriority w:val="21"/>
    <w:qFormat/>
    <w:rsid w:val="00B8798D"/>
    <w:rPr>
      <w:i/>
      <w:iCs/>
      <w:color w:val="0F4761" w:themeColor="accent1" w:themeShade="BF"/>
    </w:rPr>
  </w:style>
  <w:style w:type="paragraph" w:styleId="IntensivesZitat">
    <w:name w:val="Intense Quote"/>
    <w:basedOn w:val="Standard"/>
    <w:next w:val="Standard"/>
    <w:link w:val="IntensivesZitatZchn"/>
    <w:uiPriority w:val="30"/>
    <w:qFormat/>
    <w:rsid w:val="00B87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8798D"/>
    <w:rPr>
      <w:rFonts w:asciiTheme="majorBidi" w:hAnsiTheme="majorBidi"/>
      <w:i/>
      <w:iCs/>
      <w:color w:val="0F4761" w:themeColor="accent1" w:themeShade="BF"/>
    </w:rPr>
  </w:style>
  <w:style w:type="character" w:styleId="IntensiverVerweis">
    <w:name w:val="Intense Reference"/>
    <w:basedOn w:val="Absatz-Standardschriftart"/>
    <w:uiPriority w:val="32"/>
    <w:qFormat/>
    <w:rsid w:val="00B8798D"/>
    <w:rPr>
      <w:b/>
      <w:bCs/>
      <w:smallCaps/>
      <w:color w:val="0F4761" w:themeColor="accent1" w:themeShade="BF"/>
      <w:spacing w:val="5"/>
    </w:rPr>
  </w:style>
  <w:style w:type="paragraph" w:styleId="Literaturverzeichnis">
    <w:name w:val="Bibliography"/>
    <w:basedOn w:val="Standard"/>
    <w:next w:val="Standard"/>
    <w:uiPriority w:val="37"/>
    <w:unhideWhenUsed/>
    <w:rsid w:val="00B8798D"/>
    <w:pPr>
      <w:spacing w:after="0" w:line="480" w:lineRule="auto"/>
      <w:ind w:left="720" w:hanging="720"/>
    </w:pPr>
  </w:style>
  <w:style w:type="paragraph" w:styleId="Funotentext">
    <w:name w:val="footnote text"/>
    <w:basedOn w:val="Standard"/>
    <w:link w:val="FunotentextZchn"/>
    <w:uiPriority w:val="99"/>
    <w:semiHidden/>
    <w:unhideWhenUsed/>
    <w:rsid w:val="00B8798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8798D"/>
    <w:rPr>
      <w:rFonts w:asciiTheme="majorBidi" w:hAnsiTheme="majorBidi"/>
      <w:sz w:val="20"/>
      <w:szCs w:val="20"/>
    </w:rPr>
  </w:style>
  <w:style w:type="character" w:styleId="Funotenzeichen">
    <w:name w:val="footnote reference"/>
    <w:basedOn w:val="Absatz-Standardschriftart"/>
    <w:uiPriority w:val="99"/>
    <w:semiHidden/>
    <w:unhideWhenUsed/>
    <w:rsid w:val="00B879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11097</Words>
  <Characters>63259</Characters>
  <Application>Microsoft Office Word</Application>
  <DocSecurity>0</DocSecurity>
  <Lines>527</Lines>
  <Paragraphs>148</Paragraphs>
  <ScaleCrop>false</ScaleCrop>
  <Company/>
  <LinksUpToDate>false</LinksUpToDate>
  <CharactersWithSpaces>74208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Melike  Keyik</dc:creator>
  <cp:keywords/>
  <dc:description/>
  <cp:lastModifiedBy>Melike  Keyik</cp:lastModifiedBy>
  <cp:revision>8</cp:revision>
  <dcterms:created xsi:type="dcterms:W3CDTF">2026-05-09T10:12:00Z</dcterms:created>
  <dcterms:modified xsi:type="dcterms:W3CDTF">2026-05-09T10:18:00Z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id="gbBUyyWH"/&gt;&lt;style id="http://www.zotero.org/styles/apa" locale="tr-TR"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