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0799B" w14:textId="77777777" w:rsidR="00E6194F" w:rsidRPr="0086027D" w:rsidRDefault="00E6194F" w:rsidP="00E6194F">
      <w:pPr>
        <w:spacing w:line="360" w:lineRule="auto"/>
        <w:jc w:val="both"/>
        <w:rPr>
          <w:rFonts w:asciiTheme="majorBidi" w:hAnsiTheme="majorBidi" w:cstheme="majorBidi"/>
          <w:b/>
          <w:bCs/>
          <w:lang w:bidi="ar-DZ"/>
        </w:rPr>
      </w:pPr>
      <w:r>
        <w:rPr>
          <w:rFonts w:asciiTheme="majorBidi" w:hAnsiTheme="majorBidi" w:cstheme="majorBidi"/>
          <w:b/>
          <w:bCs/>
          <w:color w:val="000000" w:themeColor="text1"/>
          <w:sz w:val="36"/>
          <w:szCs w:val="36"/>
        </w:rPr>
        <w:t xml:space="preserve"> </w:t>
      </w:r>
      <w:r w:rsidRPr="00611DCA">
        <w:rPr>
          <w:rFonts w:asciiTheme="majorBidi" w:hAnsiTheme="majorBidi" w:cstheme="majorBidi"/>
          <w:b/>
          <w:bCs/>
          <w:highlight w:val="yellow"/>
          <w:lang w:bidi="ar-DZ"/>
        </w:rPr>
        <w:t>Makaleye dair kısa bir değerlendirme ve öneriler:</w:t>
      </w:r>
      <w:r w:rsidRPr="0086027D">
        <w:rPr>
          <w:rFonts w:asciiTheme="majorBidi" w:hAnsiTheme="majorBidi" w:cstheme="majorBidi"/>
          <w:b/>
          <w:bCs/>
          <w:lang w:bidi="ar-DZ"/>
        </w:rPr>
        <w:t xml:space="preserve"> </w:t>
      </w:r>
    </w:p>
    <w:p w14:paraId="1315D693" w14:textId="77777777" w:rsidR="00E6194F" w:rsidRPr="0086027D" w:rsidRDefault="00E6194F" w:rsidP="00E6194F">
      <w:pPr>
        <w:pStyle w:val="ListeParagraf"/>
        <w:numPr>
          <w:ilvl w:val="0"/>
          <w:numId w:val="2"/>
        </w:numPr>
        <w:spacing w:line="360" w:lineRule="auto"/>
        <w:jc w:val="both"/>
        <w:rPr>
          <w:rFonts w:asciiTheme="majorBidi" w:hAnsiTheme="majorBidi" w:cstheme="majorBidi"/>
          <w:sz w:val="28"/>
          <w:szCs w:val="28"/>
          <w:lang w:bidi="ar-DZ"/>
        </w:rPr>
      </w:pPr>
      <w:r w:rsidRPr="0086027D">
        <w:rPr>
          <w:rFonts w:asciiTheme="majorBidi" w:hAnsiTheme="majorBidi" w:cstheme="majorBidi"/>
          <w:lang w:bidi="ar-DZ"/>
        </w:rPr>
        <w:t xml:space="preserve">Öncelikle </w:t>
      </w:r>
      <w:r>
        <w:rPr>
          <w:rFonts w:asciiTheme="majorBidi" w:hAnsiTheme="majorBidi" w:cstheme="majorBidi"/>
          <w:lang w:bidi="ar-DZ"/>
        </w:rPr>
        <w:t>makalenin derlenmesi konusunda harcanmış olan emek, çalışma ve çaba açısından tebrik ediyorum. Allah yolunuzu açık etsin.</w:t>
      </w:r>
    </w:p>
    <w:p w14:paraId="47D57FC6" w14:textId="7E8096EA" w:rsidR="00E6194F" w:rsidRPr="000019B2" w:rsidRDefault="00E6194F" w:rsidP="00E6194F">
      <w:pPr>
        <w:pStyle w:val="ListeParagraf"/>
        <w:numPr>
          <w:ilvl w:val="0"/>
          <w:numId w:val="2"/>
        </w:numPr>
        <w:spacing w:line="360" w:lineRule="auto"/>
        <w:jc w:val="both"/>
        <w:rPr>
          <w:rFonts w:asciiTheme="majorBidi" w:hAnsiTheme="majorBidi" w:cstheme="majorBidi"/>
          <w:sz w:val="28"/>
          <w:szCs w:val="28"/>
          <w:lang w:bidi="ar-DZ"/>
        </w:rPr>
      </w:pPr>
      <w:r>
        <w:rPr>
          <w:rFonts w:asciiTheme="majorBidi" w:hAnsiTheme="majorBidi" w:cstheme="majorBidi"/>
          <w:lang w:bidi="ar-DZ"/>
        </w:rPr>
        <w:t xml:space="preserve">Akademik bir makaleden beklenen; problem, öneri veya değerlendirme merkezli bir metin inşasıdır. </w:t>
      </w:r>
    </w:p>
    <w:p w14:paraId="6493A32A" w14:textId="77777777" w:rsidR="00E6194F" w:rsidRPr="000019B2" w:rsidRDefault="00E6194F" w:rsidP="00E6194F">
      <w:pPr>
        <w:pStyle w:val="ListeParagraf"/>
        <w:numPr>
          <w:ilvl w:val="0"/>
          <w:numId w:val="2"/>
        </w:numPr>
        <w:spacing w:line="360" w:lineRule="auto"/>
        <w:jc w:val="both"/>
        <w:rPr>
          <w:rFonts w:asciiTheme="majorBidi" w:hAnsiTheme="majorBidi" w:cstheme="majorBidi"/>
          <w:sz w:val="28"/>
          <w:szCs w:val="28"/>
          <w:lang w:bidi="ar-DZ"/>
        </w:rPr>
      </w:pPr>
      <w:r>
        <w:rPr>
          <w:rFonts w:asciiTheme="majorBidi" w:hAnsiTheme="majorBidi" w:cstheme="majorBidi"/>
          <w:lang w:bidi="ar-DZ"/>
        </w:rPr>
        <w:t xml:space="preserve">Fikirleri derleme ve aktarım yapma aşamaları önemli olsalar da akademik yazımda asla aklımızdan çıkarmamamız gereken şey daima açık eleştiri, özgün fikir ve katkı, değerlendirme, problem haline getirme gibi unsurlarla metnimizi bezemek olmalıdır. Bu gibi unsurlar sayesinde “özgün bir </w:t>
      </w:r>
      <w:proofErr w:type="spellStart"/>
      <w:r>
        <w:rPr>
          <w:rFonts w:asciiTheme="majorBidi" w:hAnsiTheme="majorBidi" w:cstheme="majorBidi"/>
          <w:lang w:bidi="ar-DZ"/>
        </w:rPr>
        <w:t>katkı”dan</w:t>
      </w:r>
      <w:proofErr w:type="spellEnd"/>
      <w:r>
        <w:rPr>
          <w:rFonts w:asciiTheme="majorBidi" w:hAnsiTheme="majorBidi" w:cstheme="majorBidi"/>
          <w:lang w:bidi="ar-DZ"/>
        </w:rPr>
        <w:t xml:space="preserve"> söz edilebilir. </w:t>
      </w:r>
    </w:p>
    <w:p w14:paraId="0EE780E4" w14:textId="77777777" w:rsidR="00E6194F" w:rsidRPr="00F871DB" w:rsidRDefault="00E6194F" w:rsidP="00E6194F">
      <w:pPr>
        <w:pStyle w:val="ListeParagraf"/>
        <w:numPr>
          <w:ilvl w:val="0"/>
          <w:numId w:val="2"/>
        </w:numPr>
        <w:spacing w:line="360" w:lineRule="auto"/>
        <w:jc w:val="both"/>
        <w:rPr>
          <w:rFonts w:asciiTheme="majorBidi" w:hAnsiTheme="majorBidi" w:cstheme="majorBidi"/>
          <w:sz w:val="28"/>
          <w:szCs w:val="28"/>
          <w:lang w:bidi="ar-DZ"/>
        </w:rPr>
      </w:pPr>
      <w:r>
        <w:rPr>
          <w:rFonts w:asciiTheme="majorBidi" w:hAnsiTheme="majorBidi" w:cstheme="majorBidi"/>
          <w:lang w:bidi="ar-DZ"/>
        </w:rPr>
        <w:t>Bu sebeple herhangi bir makale yazdığımızda kendimize sormamız gereken temel sorular şunlar olmalıdır: “Peki, ben ne söylüyorum? Benim bütün bu sayfalarda söylemeye çalıştığım ne? Okuyucuyu ne konuda ikna etmek istiyorum?”</w:t>
      </w:r>
    </w:p>
    <w:p w14:paraId="62485D41" w14:textId="77777777" w:rsidR="00E6194F" w:rsidRPr="00F871DB" w:rsidRDefault="00E6194F" w:rsidP="00E6194F">
      <w:pPr>
        <w:pStyle w:val="ListeParagraf"/>
        <w:numPr>
          <w:ilvl w:val="0"/>
          <w:numId w:val="2"/>
        </w:numPr>
        <w:spacing w:line="360" w:lineRule="auto"/>
        <w:jc w:val="both"/>
        <w:rPr>
          <w:rFonts w:asciiTheme="majorBidi" w:hAnsiTheme="majorBidi" w:cstheme="majorBidi"/>
          <w:sz w:val="28"/>
          <w:szCs w:val="28"/>
          <w:lang w:bidi="ar-DZ"/>
        </w:rPr>
      </w:pPr>
      <w:r>
        <w:rPr>
          <w:rFonts w:asciiTheme="majorBidi" w:hAnsiTheme="majorBidi" w:cstheme="majorBidi"/>
          <w:lang w:bidi="ar-DZ"/>
        </w:rPr>
        <w:t xml:space="preserve">Dolayısıyla makalelerde “özet” kısımları, okuyucuyu bir amacımız olduğu yönünde ikna etmek, konunun önemli olduğuna onu ikna etmek ve bizim bu önemli konuyu nasıl ele alacağımıza dair tezimizi sunmak konusunda bizim yardımcılarımız olmalıdır. </w:t>
      </w:r>
    </w:p>
    <w:p w14:paraId="04F79687" w14:textId="3A515087" w:rsidR="00E6194F" w:rsidRPr="00E6194F" w:rsidRDefault="00E6194F" w:rsidP="00E6194F">
      <w:pPr>
        <w:pStyle w:val="ListeParagraf"/>
        <w:numPr>
          <w:ilvl w:val="0"/>
          <w:numId w:val="2"/>
        </w:numPr>
        <w:spacing w:line="360" w:lineRule="auto"/>
        <w:rPr>
          <w:rFonts w:asciiTheme="majorBidi" w:hAnsiTheme="majorBidi" w:cstheme="majorBidi"/>
          <w:b/>
          <w:bCs/>
          <w:sz w:val="28"/>
          <w:szCs w:val="28"/>
        </w:rPr>
      </w:pPr>
      <w:r w:rsidRPr="00C5053F">
        <w:rPr>
          <w:rFonts w:asciiTheme="majorBidi" w:hAnsiTheme="majorBidi" w:cstheme="majorBidi"/>
          <w:lang w:bidi="ar-DZ"/>
        </w:rPr>
        <w:t xml:space="preserve">Makaleyi güçlendirmek için temel araştırma problemimizi daha net bir şekilde sunmalı, argümanımızı daha doğrudan ifade etmeli ve analitik tavrımızı makaleye egemen kılmalıyız. İddiaları olmayan metinler yazmaktan kaçınmalıyız. </w:t>
      </w:r>
      <w:r w:rsidRPr="00E6194F">
        <w:rPr>
          <w:rFonts w:asciiTheme="majorBidi" w:hAnsiTheme="majorBidi" w:cstheme="majorBidi"/>
          <w:b/>
          <w:bCs/>
          <w:color w:val="000000" w:themeColor="text1"/>
          <w:sz w:val="36"/>
          <w:szCs w:val="36"/>
        </w:rPr>
        <w:br w:type="page"/>
      </w:r>
    </w:p>
    <w:p w14:paraId="44EA1163" w14:textId="683CF107" w:rsidR="00E1538F" w:rsidRPr="004548E3" w:rsidRDefault="004831A3" w:rsidP="00917382">
      <w:pPr>
        <w:pStyle w:val="NormalWeb"/>
        <w:jc w:val="center"/>
        <w:rPr>
          <w:rFonts w:asciiTheme="majorBidi" w:hAnsiTheme="majorBidi" w:cstheme="majorBidi"/>
          <w:b/>
          <w:bCs/>
          <w:color w:val="000000" w:themeColor="text1"/>
          <w:sz w:val="36"/>
          <w:szCs w:val="36"/>
        </w:rPr>
      </w:pPr>
      <w:r>
        <w:rPr>
          <w:noProof/>
        </w:rPr>
        <w:lastRenderedPageBreak/>
        <w:drawing>
          <wp:inline distT="0" distB="0" distL="0" distR="0" wp14:anchorId="04F9B016" wp14:editId="760AF8B6">
            <wp:extent cx="1828800" cy="2495550"/>
            <wp:effectExtent l="0" t="0" r="0" b="0"/>
            <wp:docPr id="429854385" name="صورة 1" descr="‪İSLAM DÜŞÜNCE ENSTİTÜSÜ (İDE) - Çok Satan ve Yeni Çıkan Kitapları -  Kitapyurdu.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SLAM DÜŞÜNCE ENSTİTÜSÜ (İDE) - Çok Satan ve Yeni Çıkan Kitapları -  Kitapyurdu.com‬‏"/>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28800" cy="2495550"/>
                    </a:xfrm>
                    <a:prstGeom prst="rect">
                      <a:avLst/>
                    </a:prstGeom>
                    <a:noFill/>
                    <a:ln>
                      <a:noFill/>
                    </a:ln>
                  </pic:spPr>
                </pic:pic>
              </a:graphicData>
            </a:graphic>
          </wp:inline>
        </w:drawing>
      </w:r>
    </w:p>
    <w:p w14:paraId="1FB172DB" w14:textId="6D9B5918" w:rsidR="0031612D" w:rsidRPr="00C17178" w:rsidRDefault="0031612D" w:rsidP="004831A3">
      <w:pPr>
        <w:pStyle w:val="Altyaz"/>
        <w:jc w:val="center"/>
        <w:rPr>
          <w:rFonts w:asciiTheme="majorBidi" w:hAnsiTheme="majorBidi"/>
          <w:b/>
          <w:bCs/>
          <w:color w:val="000000" w:themeColor="text1"/>
        </w:rPr>
      </w:pPr>
    </w:p>
    <w:p w14:paraId="4885089F" w14:textId="77777777" w:rsidR="0041362A" w:rsidRPr="004548E3" w:rsidRDefault="0041362A" w:rsidP="0057411B">
      <w:pPr>
        <w:rPr>
          <w:rFonts w:asciiTheme="majorBidi" w:hAnsiTheme="majorBidi" w:cstheme="majorBidi"/>
        </w:rPr>
      </w:pPr>
    </w:p>
    <w:p w14:paraId="2301EF75" w14:textId="5A57984D" w:rsidR="004548E3" w:rsidRPr="004548E3" w:rsidRDefault="00F27741" w:rsidP="004548E3">
      <w:pPr>
        <w:pStyle w:val="NormalWeb"/>
        <w:rPr>
          <w:rFonts w:asciiTheme="majorBidi" w:hAnsiTheme="majorBidi" w:cstheme="majorBidi"/>
          <w:b/>
          <w:bCs/>
          <w:sz w:val="28"/>
          <w:szCs w:val="28"/>
        </w:rPr>
      </w:pPr>
      <w:r w:rsidRPr="004548E3">
        <w:rPr>
          <w:rFonts w:asciiTheme="majorBidi" w:hAnsiTheme="majorBidi" w:cstheme="majorBidi"/>
        </w:rPr>
        <w:t xml:space="preserve">   </w:t>
      </w:r>
      <w:r w:rsidR="004548E3" w:rsidRPr="004548E3">
        <w:rPr>
          <w:rFonts w:asciiTheme="majorBidi" w:hAnsiTheme="majorBidi" w:cstheme="majorBidi"/>
          <w:b/>
          <w:bCs/>
        </w:rPr>
        <w:t xml:space="preserve">                                </w:t>
      </w:r>
      <w:r w:rsidR="00C17178">
        <w:rPr>
          <w:rFonts w:asciiTheme="majorBidi" w:hAnsiTheme="majorBidi" w:cstheme="majorBidi"/>
          <w:b/>
          <w:bCs/>
        </w:rPr>
        <w:t>"</w:t>
      </w:r>
      <w:r w:rsidR="004548E3" w:rsidRPr="004548E3">
        <w:rPr>
          <w:rFonts w:asciiTheme="majorBidi" w:hAnsiTheme="majorBidi" w:cstheme="majorBidi"/>
          <w:b/>
          <w:bCs/>
          <w:sz w:val="28"/>
          <w:szCs w:val="28"/>
        </w:rPr>
        <w:t>Orta Çağ İslam Dünyasında Kârimî Tüccarlar</w:t>
      </w:r>
    </w:p>
    <w:p w14:paraId="1C4C229D" w14:textId="1D83BB23" w:rsidR="004548E3" w:rsidRPr="004548E3" w:rsidRDefault="004548E3" w:rsidP="004548E3">
      <w:pPr>
        <w:pStyle w:val="NormalWeb"/>
        <w:rPr>
          <w:rFonts w:asciiTheme="majorBidi" w:hAnsiTheme="majorBidi" w:cstheme="majorBidi"/>
          <w:b/>
          <w:bCs/>
          <w:sz w:val="28"/>
          <w:szCs w:val="28"/>
        </w:rPr>
      </w:pPr>
      <w:r w:rsidRPr="004548E3">
        <w:rPr>
          <w:rFonts w:asciiTheme="majorBidi" w:hAnsiTheme="majorBidi" w:cstheme="majorBidi"/>
          <w:b/>
          <w:bCs/>
          <w:sz w:val="28"/>
          <w:szCs w:val="28"/>
        </w:rPr>
        <w:t xml:space="preserve">                                Ekonomik, Siyasi Ve Kültürel Bir Güç</w:t>
      </w:r>
      <w:r w:rsidR="00C17178">
        <w:rPr>
          <w:rFonts w:asciiTheme="majorBidi" w:hAnsiTheme="majorBidi" w:cstheme="majorBidi"/>
          <w:b/>
          <w:bCs/>
          <w:sz w:val="28"/>
          <w:szCs w:val="28"/>
        </w:rPr>
        <w:t>"</w:t>
      </w:r>
    </w:p>
    <w:p w14:paraId="0E46779C" w14:textId="2FD8A2F9" w:rsidR="0041362A" w:rsidRDefault="0041362A" w:rsidP="0057411B"/>
    <w:p w14:paraId="5E071D9C" w14:textId="77777777" w:rsidR="00677A5A" w:rsidRDefault="00677A5A" w:rsidP="0057411B"/>
    <w:p w14:paraId="2CBAB1A1" w14:textId="77777777" w:rsidR="00EB2C3E" w:rsidRDefault="00EB2C3E" w:rsidP="0057411B"/>
    <w:p w14:paraId="2E3EAFC3" w14:textId="1D0D4B1D" w:rsidR="00C17178" w:rsidRDefault="00EB2C3E" w:rsidP="0057411B">
      <w:pPr>
        <w:rPr>
          <w:b/>
          <w:bCs/>
          <w:sz w:val="28"/>
          <w:szCs w:val="28"/>
        </w:rPr>
      </w:pPr>
      <w:r w:rsidRPr="00EB2C3E">
        <w:rPr>
          <w:b/>
          <w:bCs/>
          <w:sz w:val="28"/>
          <w:szCs w:val="28"/>
        </w:rPr>
        <w:t xml:space="preserve">                                            </w:t>
      </w:r>
      <w:r>
        <w:rPr>
          <w:b/>
          <w:bCs/>
          <w:sz w:val="28"/>
          <w:szCs w:val="28"/>
        </w:rPr>
        <w:t xml:space="preserve">          </w:t>
      </w:r>
      <w:r w:rsidRPr="00EB2C3E">
        <w:rPr>
          <w:b/>
          <w:bCs/>
          <w:sz w:val="28"/>
          <w:szCs w:val="28"/>
        </w:rPr>
        <w:t xml:space="preserve">   NOOR ABU AWWAD </w:t>
      </w:r>
    </w:p>
    <w:p w14:paraId="009DACD1" w14:textId="77777777" w:rsidR="00EB2C3E" w:rsidRPr="00EB2C3E" w:rsidRDefault="00EB2C3E" w:rsidP="0057411B">
      <w:pPr>
        <w:rPr>
          <w:b/>
          <w:bCs/>
          <w:sz w:val="28"/>
          <w:szCs w:val="28"/>
        </w:rPr>
      </w:pPr>
    </w:p>
    <w:p w14:paraId="08DA0A4A" w14:textId="2243ADA8" w:rsidR="00677A5A" w:rsidRPr="004831A3" w:rsidRDefault="00A8719A" w:rsidP="004831A3">
      <w:pPr>
        <w:pStyle w:val="NormalWeb"/>
        <w:rPr>
          <w:b/>
          <w:bCs/>
          <w:lang w:val="en-US"/>
        </w:rPr>
      </w:pPr>
      <w:r w:rsidRPr="00A8719A">
        <w:rPr>
          <w:b/>
          <w:bCs/>
        </w:rPr>
        <w:t xml:space="preserve">                                                 </w:t>
      </w:r>
    </w:p>
    <w:p w14:paraId="3D9E33CC" w14:textId="77777777" w:rsidR="004831A3" w:rsidRDefault="004831A3" w:rsidP="003502FF">
      <w:pPr>
        <w:pStyle w:val="NormalWeb"/>
        <w:rPr>
          <w:b/>
          <w:bCs/>
          <w:sz w:val="36"/>
          <w:szCs w:val="36"/>
        </w:rPr>
      </w:pPr>
    </w:p>
    <w:p w14:paraId="07D083F9" w14:textId="77777777" w:rsidR="004831A3" w:rsidRDefault="00677A5A" w:rsidP="00021E3C">
      <w:pPr>
        <w:pStyle w:val="NormalWeb"/>
        <w:jc w:val="right"/>
        <w:rPr>
          <w:b/>
          <w:bCs/>
          <w:sz w:val="36"/>
          <w:szCs w:val="36"/>
        </w:rPr>
      </w:pPr>
      <w:r>
        <w:rPr>
          <w:b/>
          <w:bCs/>
          <w:sz w:val="36"/>
          <w:szCs w:val="36"/>
        </w:rPr>
        <w:t xml:space="preserve">                                              </w:t>
      </w:r>
    </w:p>
    <w:p w14:paraId="207A99EE" w14:textId="77777777" w:rsidR="004831A3" w:rsidRDefault="004831A3" w:rsidP="00021E3C">
      <w:pPr>
        <w:pStyle w:val="NormalWeb"/>
        <w:jc w:val="right"/>
        <w:rPr>
          <w:b/>
          <w:bCs/>
          <w:sz w:val="36"/>
          <w:szCs w:val="36"/>
        </w:rPr>
      </w:pPr>
      <w:r>
        <w:rPr>
          <w:b/>
          <w:bCs/>
          <w:sz w:val="36"/>
          <w:szCs w:val="36"/>
        </w:rPr>
        <w:t xml:space="preserve"> </w:t>
      </w:r>
    </w:p>
    <w:p w14:paraId="107655CB" w14:textId="226FF9B8" w:rsidR="00E1538F" w:rsidRDefault="004831A3" w:rsidP="004831A3">
      <w:pPr>
        <w:pStyle w:val="NormalWeb"/>
        <w:jc w:val="right"/>
        <w:rPr>
          <w:b/>
          <w:bCs/>
          <w:sz w:val="36"/>
          <w:szCs w:val="36"/>
        </w:rPr>
      </w:pPr>
      <w:r>
        <w:rPr>
          <w:b/>
          <w:bCs/>
          <w:sz w:val="36"/>
          <w:szCs w:val="36"/>
        </w:rPr>
        <w:t xml:space="preserve">   </w:t>
      </w:r>
      <w:r w:rsidR="00677A5A">
        <w:rPr>
          <w:b/>
          <w:bCs/>
          <w:sz w:val="36"/>
          <w:szCs w:val="36"/>
        </w:rPr>
        <w:t xml:space="preserve">   2026</w:t>
      </w:r>
    </w:p>
    <w:p w14:paraId="7BAB42EF" w14:textId="60C69E93" w:rsidR="004548E3" w:rsidRDefault="004548E3" w:rsidP="004831A3">
      <w:pPr>
        <w:pStyle w:val="NormalWeb"/>
        <w:rPr>
          <w:b/>
          <w:bCs/>
          <w:sz w:val="28"/>
          <w:szCs w:val="28"/>
        </w:rPr>
      </w:pPr>
      <w:r w:rsidRPr="004548E3">
        <w:rPr>
          <w:b/>
          <w:bCs/>
        </w:rPr>
        <w:t xml:space="preserve">                        </w:t>
      </w:r>
    </w:p>
    <w:p w14:paraId="276088EF" w14:textId="4E1B46A9" w:rsidR="004831A3" w:rsidRPr="004548E3" w:rsidRDefault="004831A3" w:rsidP="004831A3">
      <w:pPr>
        <w:pStyle w:val="NormalWeb"/>
        <w:jc w:val="center"/>
        <w:rPr>
          <w:b/>
          <w:bCs/>
          <w:sz w:val="28"/>
          <w:szCs w:val="28"/>
        </w:rPr>
      </w:pPr>
      <w:r w:rsidRPr="004548E3">
        <w:rPr>
          <w:b/>
          <w:bCs/>
          <w:sz w:val="28"/>
          <w:szCs w:val="28"/>
        </w:rPr>
        <w:lastRenderedPageBreak/>
        <w:t>Orta Çağ İslam Dünyasında Kârimî Tüccarlar</w:t>
      </w:r>
    </w:p>
    <w:p w14:paraId="0F9F5DC1" w14:textId="4F78300B" w:rsidR="002F2BCE" w:rsidRDefault="004548E3" w:rsidP="00021E3C">
      <w:pPr>
        <w:pStyle w:val="NormalWeb"/>
        <w:rPr>
          <w:b/>
          <w:bCs/>
          <w:sz w:val="28"/>
          <w:szCs w:val="28"/>
        </w:rPr>
      </w:pPr>
      <w:r w:rsidRPr="004548E3">
        <w:rPr>
          <w:b/>
          <w:bCs/>
          <w:sz w:val="28"/>
          <w:szCs w:val="28"/>
        </w:rPr>
        <w:t xml:space="preserve">                                Ekonomik, Siyasi Ve Kültürel Bir Güç</w:t>
      </w:r>
    </w:p>
    <w:p w14:paraId="52676F95" w14:textId="77777777" w:rsidR="00D6060C" w:rsidRDefault="00D6060C" w:rsidP="00021E3C">
      <w:pPr>
        <w:pStyle w:val="NormalWeb"/>
        <w:rPr>
          <w:b/>
          <w:bCs/>
          <w:sz w:val="28"/>
          <w:szCs w:val="28"/>
        </w:rPr>
      </w:pPr>
    </w:p>
    <w:p w14:paraId="46500B6E" w14:textId="77777777" w:rsidR="00950F77" w:rsidRPr="00021E3C" w:rsidRDefault="00950F77" w:rsidP="00021E3C">
      <w:pPr>
        <w:pStyle w:val="NormalWeb"/>
        <w:rPr>
          <w:b/>
          <w:bCs/>
          <w:sz w:val="28"/>
          <w:szCs w:val="28"/>
        </w:rPr>
      </w:pPr>
    </w:p>
    <w:p w14:paraId="75BC397D" w14:textId="1FA08756" w:rsidR="002F2BCE" w:rsidRDefault="00F12B79" w:rsidP="00A3666B">
      <w:pPr>
        <w:pStyle w:val="NormalWeb"/>
        <w:spacing w:line="360" w:lineRule="auto"/>
        <w:jc w:val="both"/>
        <w:rPr>
          <w:b/>
          <w:bCs/>
          <w:sz w:val="36"/>
          <w:szCs w:val="36"/>
        </w:rPr>
      </w:pPr>
      <w:r>
        <w:rPr>
          <w:b/>
          <w:bCs/>
          <w:sz w:val="36"/>
          <w:szCs w:val="36"/>
        </w:rPr>
        <w:t xml:space="preserve">Özet </w:t>
      </w:r>
      <w:r w:rsidR="00021E3C">
        <w:rPr>
          <w:b/>
          <w:bCs/>
          <w:sz w:val="36"/>
          <w:szCs w:val="36"/>
        </w:rPr>
        <w:t xml:space="preserve"> </w:t>
      </w:r>
    </w:p>
    <w:p w14:paraId="2A927930" w14:textId="14204896" w:rsidR="00F12B79" w:rsidRPr="00F12B79" w:rsidRDefault="00021E3C" w:rsidP="00A3666B">
      <w:pPr>
        <w:pStyle w:val="NormalWeb"/>
        <w:spacing w:line="360" w:lineRule="auto"/>
        <w:jc w:val="both"/>
      </w:pPr>
      <w:r>
        <w:t xml:space="preserve">         </w:t>
      </w:r>
      <w:r w:rsidR="00F12B79">
        <w:t>Orta Çağ İslam dünyasında Kârimî tüccarlar, yalnızca ekonomik değil aynı zamanda siyasi, sosyal ve kültürel alanlarda da belirleyici bir güç olarak öne çıkmıştır. Özellikle Fâtımîler, Eyyûbîler ve Memlükler dönemlerinde etkinlik gösteren bu tüccar zümresi, Doğu ile Batı arasındaki ticaretin ana taşıyıcısı olmuş; baharat başta olmak üzere değerli malların dolaşımını sağlayarak Mısır’ı küresel ticaretin merkezlerinden biri hâline getirmiştir.</w:t>
      </w:r>
    </w:p>
    <w:p w14:paraId="5040006D" w14:textId="7D3C20D1" w:rsidR="00F12B79" w:rsidRDefault="00021E3C" w:rsidP="00A3666B">
      <w:pPr>
        <w:pStyle w:val="NormalWeb"/>
        <w:spacing w:line="360" w:lineRule="auto"/>
        <w:jc w:val="both"/>
      </w:pPr>
      <w:r>
        <w:t xml:space="preserve">          </w:t>
      </w:r>
      <w:r w:rsidR="00F12B79">
        <w:t>Kârimî teriminin kökeni konusunda farklı görüşler bulunmakla birlikte, kaynaklar bu grubun kurumsallaşmış, örgütlü ve geniş bir ticaret ağına sahip olduğunu göstermektedir. Kızıldeniz, Hint Okyanusu, Akdeniz ve kara yolları üzerinden faaliyet gösteren Kârimîler; Kahire, İskenderiye, Dimyat, Ayzab, Aden, Mekke ve Hindistan gibi merkezlerde ticari üsler kurmuşlardır. Ticaretlerini funduklar, kervansaraylar ve vakıf yapılarıyla desteklemişlerdir.</w:t>
      </w:r>
    </w:p>
    <w:p w14:paraId="425D3535" w14:textId="001081BA" w:rsidR="00F12B79" w:rsidRDefault="00021E3C" w:rsidP="00A3666B">
      <w:pPr>
        <w:pStyle w:val="NormalWeb"/>
        <w:spacing w:line="360" w:lineRule="auto"/>
        <w:jc w:val="both"/>
      </w:pPr>
      <w:r>
        <w:t xml:space="preserve">         </w:t>
      </w:r>
      <w:r w:rsidR="00F12B79">
        <w:t>Baharat, değerli taşlar, ipek, porselen, ilaçlar, kürk, kumaş ve madenler Kârimî ticaretinin başlıca malları olmuştur. Bu faaliyetler sayesinde büyük servetler elde etmiş, zamanla devletlerin mali yapısında vazgeçilmez aktörler hâline gelmişlerdir. Özellikle Memlükler döneminde sultanlara borç veren, savaş ve kriz zamanlarında devleti finanse eden bir kredi kurumu işlevi görmüşlerdir. Devlet ile aralarındaki bu karşılıklı çıkar ilişkisi, özel idari makamların (Nâzırü’l-Bihâr ve’l-Kârimî) kurulmasına kadar uzanmıştır.</w:t>
      </w:r>
    </w:p>
    <w:p w14:paraId="0CCF0368" w14:textId="3DF7E50E" w:rsidR="00F12B79" w:rsidRDefault="00021E3C" w:rsidP="00A3666B">
      <w:pPr>
        <w:pStyle w:val="NormalWeb"/>
        <w:spacing w:line="360" w:lineRule="auto"/>
        <w:jc w:val="both"/>
      </w:pPr>
      <w:r>
        <w:t xml:space="preserve">      </w:t>
      </w:r>
      <w:r w:rsidR="00F12B79">
        <w:t>Kârimîler yalnızca ticaretle sınırlı kalmamış; ilim, hayır, vakıf ve eğitim faaliyetleriyle İslam kültürüne önemli katkılar sağlamışlardır. Medreseler, mescitler ve sıbyan mektepleri inşa etmiş; hadis, fıkıh ve edebiyat alanlarında eserler veren âlim-tüccarlar yetiştirmişlerdir. Ayrıca ticaret kervanlarıyla birlikte hareket eden sûfîler aracılığıyla İslam’ın Afrika, Hindistan ve Güneydoğu Asya’da yayılmasında etkili olmuşlardır.</w:t>
      </w:r>
    </w:p>
    <w:p w14:paraId="5F42F4B1" w14:textId="77777777" w:rsidR="00021E3C" w:rsidRPr="004831A3" w:rsidRDefault="00021E3C" w:rsidP="00A3666B">
      <w:pPr>
        <w:pStyle w:val="NormalWeb"/>
        <w:spacing w:line="360" w:lineRule="auto"/>
        <w:jc w:val="both"/>
      </w:pPr>
    </w:p>
    <w:p w14:paraId="3C1A245A" w14:textId="5E89EC4E" w:rsidR="00F12B79" w:rsidRDefault="007C4849" w:rsidP="00CD3152">
      <w:pPr>
        <w:pStyle w:val="NormalWeb"/>
        <w:rPr>
          <w:b/>
          <w:bCs/>
        </w:rPr>
      </w:pPr>
      <w:r w:rsidRPr="007C4849">
        <w:rPr>
          <w:b/>
          <w:bCs/>
        </w:rPr>
        <w:t>Anahtar Kelimeler:</w:t>
      </w:r>
      <w:r w:rsidR="00357911" w:rsidRPr="00357911">
        <w:t xml:space="preserve"> </w:t>
      </w:r>
      <w:r w:rsidR="00357911" w:rsidRPr="00357911">
        <w:rPr>
          <w:b/>
          <w:bCs/>
        </w:rPr>
        <w:t>Kârimî Tüccarlar</w:t>
      </w:r>
      <w:r w:rsidR="00357911">
        <w:rPr>
          <w:b/>
          <w:bCs/>
        </w:rPr>
        <w:t>,</w:t>
      </w:r>
      <w:r w:rsidR="009642D8" w:rsidRPr="009642D8">
        <w:t xml:space="preserve"> </w:t>
      </w:r>
      <w:r w:rsidR="009642D8" w:rsidRPr="009642D8">
        <w:rPr>
          <w:b/>
          <w:bCs/>
        </w:rPr>
        <w:t>Kızıldeniz Ticareti</w:t>
      </w:r>
      <w:r w:rsidR="00F226DE">
        <w:rPr>
          <w:b/>
          <w:bCs/>
        </w:rPr>
        <w:t>,</w:t>
      </w:r>
      <w:r w:rsidR="00F226DE" w:rsidRPr="00F226DE">
        <w:t xml:space="preserve"> </w:t>
      </w:r>
      <w:r w:rsidR="00F226DE" w:rsidRPr="00F226DE">
        <w:rPr>
          <w:b/>
          <w:bCs/>
        </w:rPr>
        <w:t>Baharat Ticareti</w:t>
      </w:r>
      <w:r w:rsidR="00F226DE">
        <w:rPr>
          <w:b/>
          <w:bCs/>
        </w:rPr>
        <w:t>,</w:t>
      </w:r>
      <w:r w:rsidR="00C42BF1" w:rsidRPr="00C42BF1">
        <w:t xml:space="preserve"> </w:t>
      </w:r>
      <w:r w:rsidR="00C42BF1" w:rsidRPr="00C42BF1">
        <w:rPr>
          <w:b/>
          <w:bCs/>
        </w:rPr>
        <w:t>Akdeniz Ticareti</w:t>
      </w:r>
    </w:p>
    <w:p w14:paraId="7CE21A2A" w14:textId="77777777" w:rsidR="00950F77" w:rsidRDefault="00950F77" w:rsidP="00CD3152">
      <w:pPr>
        <w:pStyle w:val="NormalWeb"/>
        <w:rPr>
          <w:b/>
          <w:bCs/>
        </w:rPr>
      </w:pPr>
    </w:p>
    <w:p w14:paraId="2C4388EA" w14:textId="08346ADA" w:rsidR="00950F77" w:rsidRPr="00950F77" w:rsidRDefault="00950F77" w:rsidP="00CD3152">
      <w:pPr>
        <w:pStyle w:val="NormalWeb"/>
        <w:rPr>
          <w:b/>
          <w:bCs/>
          <w:sz w:val="32"/>
          <w:szCs w:val="32"/>
          <w:lang w:val="en-US"/>
        </w:rPr>
      </w:pPr>
      <w:r w:rsidRPr="00950F77">
        <w:rPr>
          <w:b/>
          <w:bCs/>
          <w:sz w:val="32"/>
          <w:szCs w:val="32"/>
        </w:rPr>
        <w:t>Abstract</w:t>
      </w:r>
    </w:p>
    <w:p w14:paraId="68EF8144" w14:textId="1E34DE72" w:rsidR="0036013C" w:rsidRDefault="00EF69D8" w:rsidP="00950F77">
      <w:pPr>
        <w:pStyle w:val="NormalWeb"/>
        <w:spacing w:line="360" w:lineRule="auto"/>
        <w:jc w:val="both"/>
        <w:rPr>
          <w:lang w:val="en-US"/>
        </w:rPr>
      </w:pPr>
      <w:r>
        <w:t xml:space="preserve">           </w:t>
      </w:r>
      <w:r w:rsidR="0036013C">
        <w:t>In the medieval Islamic world, the Karīmī merchants emerged as a powerful economic, political, and cultural force. Active mainly during the Fāṭimid, Ayyūbid, and Mamluk periods, this elite mercantile group played a central role in long-distance trade between East and West, particularly in the spice trade. Through their extensive commercial networks, they transformed Egypt—especially Cairo and Alexandria—into one of the most important hubs of global commerce in the Middle Ages.</w:t>
      </w:r>
    </w:p>
    <w:p w14:paraId="473EFD7F" w14:textId="5A83A2B1" w:rsidR="0036013C" w:rsidRDefault="00EF69D8" w:rsidP="00950F77">
      <w:pPr>
        <w:pStyle w:val="NormalWeb"/>
        <w:spacing w:line="360" w:lineRule="auto"/>
        <w:jc w:val="both"/>
      </w:pPr>
      <w:r>
        <w:t xml:space="preserve">        </w:t>
      </w:r>
      <w:r w:rsidR="0036013C">
        <w:t>The origin of the term Karīmī remains contested among historians, yet historical sources clearly indicate that these merchants formed a highly organized and institutionalized trading community rather than a collection of individual traders. Operating across the Red Sea, the Indian Ocean, the Mediterranean, and major overland routes, the Karīmīs established commercial centers in key cities such as Cairo, Alexandria, Damietta, ʿAydhāb, Aden, Mecca, and several regions of India. Their activities were supported by funduqs, caravanserais, and waqf institutions, which facilitated the circulation of goods and capital.</w:t>
      </w:r>
    </w:p>
    <w:p w14:paraId="568FCB46" w14:textId="146A07DB" w:rsidR="0036013C" w:rsidRDefault="00EF69D8" w:rsidP="00950F77">
      <w:pPr>
        <w:pStyle w:val="NormalWeb"/>
        <w:spacing w:line="360" w:lineRule="auto"/>
        <w:jc w:val="both"/>
      </w:pPr>
      <w:r>
        <w:t xml:space="preserve">         </w:t>
      </w:r>
      <w:r w:rsidR="0036013C">
        <w:t>The Karīmī trade focused primarily on spices, precious stones, textiles, porcelain, medicinal products, metals, and luxury items. The enormous wealth generated by this trade enabled the Karīmīs to become indispensable financial actors within the state. During the Mamluk period in particular, they functioned as major creditors to sultans, financing military campaigns, public works, and economic stabilization during periods of crisis. This close relationship with political authority led to the establishment of special administrative offices, such as the Nāẓir al-Biḥār wa-l-Karīmī, dedicated to overseeing Red Sea trade and protecting Karīmī interests.</w:t>
      </w:r>
    </w:p>
    <w:p w14:paraId="657629F9" w14:textId="32625DC0" w:rsidR="0036013C" w:rsidRDefault="00EF69D8" w:rsidP="00950F77">
      <w:pPr>
        <w:pStyle w:val="NormalWeb"/>
        <w:spacing w:line="360" w:lineRule="auto"/>
        <w:jc w:val="both"/>
      </w:pPr>
      <w:r>
        <w:t xml:space="preserve">      </w:t>
      </w:r>
      <w:r w:rsidR="0036013C">
        <w:t xml:space="preserve">Beyond their economic influence, Karīmī merchants made substantial contributions to social, religious, and intellectual life. They founded mosques, madrasas, and charitable endowments, and many of them were active scholars in fields such as ḥadīth, jurisprudence, and literature. Through </w:t>
      </w:r>
      <w:r w:rsidR="0036013C">
        <w:lastRenderedPageBreak/>
        <w:t>their commercial expeditions and collaboration with Sufi missionaries, they also played a significant role in the spread of Islam across Africa, India, Southeast Asia, and the Far East.</w:t>
      </w:r>
    </w:p>
    <w:p w14:paraId="2D360D0A" w14:textId="38716DBC" w:rsidR="00CD3152" w:rsidRPr="00D6060C" w:rsidRDefault="00EF69D8" w:rsidP="00D6060C">
      <w:pPr>
        <w:pStyle w:val="NormalWeb"/>
        <w:spacing w:line="360" w:lineRule="auto"/>
        <w:jc w:val="both"/>
      </w:pPr>
      <w:r>
        <w:t xml:space="preserve">        </w:t>
      </w:r>
      <w:r w:rsidR="0036013C">
        <w:t>In conclusion, the Karīmī merchants were not merely traders but key agents of economic integration, political stability, cultural exchange, and religious dissemination in the medieval Islamic world. Their activities elevated the Red Sea and Egypt to an unparalleled position in global trade and left a lasting impact on the economic and cultural history of the Middle Ages.</w:t>
      </w:r>
    </w:p>
    <w:p w14:paraId="435A2A8E" w14:textId="0D9F1506" w:rsidR="00CD3152" w:rsidRDefault="00CD3152" w:rsidP="00950F77">
      <w:pPr>
        <w:pStyle w:val="NormalWeb"/>
        <w:spacing w:line="360" w:lineRule="auto"/>
        <w:jc w:val="both"/>
        <w:rPr>
          <w:b/>
          <w:bCs/>
        </w:rPr>
      </w:pPr>
      <w:r>
        <w:t xml:space="preserve">  </w:t>
      </w:r>
      <w:r w:rsidRPr="00CD3152">
        <w:rPr>
          <w:b/>
          <w:bCs/>
        </w:rPr>
        <w:t>Keywords:</w:t>
      </w:r>
      <w:r>
        <w:t xml:space="preserve">  </w:t>
      </w:r>
      <w:r w:rsidRPr="00CD3152">
        <w:rPr>
          <w:b/>
          <w:bCs/>
        </w:rPr>
        <w:t>Karīmī Merchants; Red Sea Trade; Spice Trade; Mediterranean Trade</w:t>
      </w:r>
      <w:r>
        <w:rPr>
          <w:b/>
          <w:bCs/>
        </w:rPr>
        <w:t>.</w:t>
      </w:r>
    </w:p>
    <w:p w14:paraId="3F202606" w14:textId="77777777" w:rsidR="00A177B7" w:rsidRDefault="00A177B7" w:rsidP="00950F77">
      <w:pPr>
        <w:pStyle w:val="NormalWeb"/>
        <w:spacing w:line="360" w:lineRule="auto"/>
        <w:jc w:val="both"/>
        <w:rPr>
          <w:b/>
          <w:bCs/>
        </w:rPr>
      </w:pPr>
    </w:p>
    <w:p w14:paraId="1F6AEC68" w14:textId="77777777" w:rsidR="00A177B7" w:rsidRDefault="00A177B7" w:rsidP="00950F77">
      <w:pPr>
        <w:pStyle w:val="NormalWeb"/>
        <w:spacing w:line="360" w:lineRule="auto"/>
        <w:jc w:val="both"/>
        <w:rPr>
          <w:lang w:val="en-US"/>
        </w:rPr>
      </w:pPr>
    </w:p>
    <w:p w14:paraId="0C9B5AFA" w14:textId="2F7E6206" w:rsidR="00562A60" w:rsidRDefault="00CD3152" w:rsidP="00562A60">
      <w:pPr>
        <w:pStyle w:val="NormalWeb"/>
      </w:pPr>
      <w:r>
        <w:t xml:space="preserve">    </w:t>
      </w:r>
    </w:p>
    <w:p w14:paraId="702001FF" w14:textId="77777777" w:rsidR="00D6060C" w:rsidRDefault="00D6060C" w:rsidP="00562A60">
      <w:pPr>
        <w:pStyle w:val="NormalWeb"/>
      </w:pPr>
    </w:p>
    <w:p w14:paraId="00672852" w14:textId="77777777" w:rsidR="00D6060C" w:rsidRDefault="00D6060C" w:rsidP="00562A60">
      <w:pPr>
        <w:pStyle w:val="NormalWeb"/>
      </w:pPr>
    </w:p>
    <w:p w14:paraId="7AB52E12" w14:textId="77777777" w:rsidR="00D6060C" w:rsidRDefault="00D6060C" w:rsidP="00562A60">
      <w:pPr>
        <w:pStyle w:val="NormalWeb"/>
      </w:pPr>
    </w:p>
    <w:p w14:paraId="3142FD8A" w14:textId="77777777" w:rsidR="00D6060C" w:rsidRDefault="00D6060C" w:rsidP="00562A60">
      <w:pPr>
        <w:pStyle w:val="NormalWeb"/>
      </w:pPr>
    </w:p>
    <w:p w14:paraId="52E9135D" w14:textId="77777777" w:rsidR="00D6060C" w:rsidRDefault="00D6060C" w:rsidP="00562A60">
      <w:pPr>
        <w:pStyle w:val="NormalWeb"/>
      </w:pPr>
    </w:p>
    <w:p w14:paraId="4A2C5439" w14:textId="77777777" w:rsidR="00D6060C" w:rsidRDefault="00D6060C" w:rsidP="00562A60">
      <w:pPr>
        <w:pStyle w:val="NormalWeb"/>
      </w:pPr>
    </w:p>
    <w:p w14:paraId="423D8CC6" w14:textId="77777777" w:rsidR="00D6060C" w:rsidRDefault="00D6060C" w:rsidP="00562A60">
      <w:pPr>
        <w:pStyle w:val="NormalWeb"/>
      </w:pPr>
    </w:p>
    <w:p w14:paraId="2D68F281" w14:textId="77777777" w:rsidR="00D6060C" w:rsidRDefault="00D6060C" w:rsidP="00562A60">
      <w:pPr>
        <w:pStyle w:val="NormalWeb"/>
      </w:pPr>
    </w:p>
    <w:p w14:paraId="67B4BD00" w14:textId="77777777" w:rsidR="00D6060C" w:rsidRDefault="00D6060C" w:rsidP="00562A60">
      <w:pPr>
        <w:pStyle w:val="NormalWeb"/>
      </w:pPr>
    </w:p>
    <w:p w14:paraId="3725FC47" w14:textId="77777777" w:rsidR="00D6060C" w:rsidRDefault="00D6060C" w:rsidP="00562A60">
      <w:pPr>
        <w:pStyle w:val="NormalWeb"/>
      </w:pPr>
    </w:p>
    <w:p w14:paraId="1007BC36" w14:textId="77777777" w:rsidR="002F2BCE" w:rsidRDefault="002F2BCE" w:rsidP="004126EB">
      <w:pPr>
        <w:pStyle w:val="NormalWeb"/>
        <w:jc w:val="both"/>
        <w:rPr>
          <w:b/>
          <w:bCs/>
          <w:sz w:val="36"/>
          <w:szCs w:val="36"/>
          <w:lang w:val="en-US"/>
        </w:rPr>
      </w:pPr>
    </w:p>
    <w:p w14:paraId="08E8DC8E" w14:textId="77777777" w:rsidR="001549F3" w:rsidRDefault="001549F3" w:rsidP="004126EB">
      <w:pPr>
        <w:pStyle w:val="NormalWeb"/>
        <w:jc w:val="both"/>
        <w:rPr>
          <w:b/>
          <w:bCs/>
          <w:sz w:val="36"/>
          <w:szCs w:val="36"/>
          <w:lang w:val="en-US"/>
        </w:rPr>
      </w:pPr>
    </w:p>
    <w:p w14:paraId="0D073837" w14:textId="77777777" w:rsidR="001549F3" w:rsidRPr="00562A60" w:rsidRDefault="001549F3" w:rsidP="004126EB">
      <w:pPr>
        <w:pStyle w:val="NormalWeb"/>
        <w:jc w:val="both"/>
        <w:rPr>
          <w:b/>
          <w:bCs/>
          <w:sz w:val="36"/>
          <w:szCs w:val="36"/>
          <w:lang w:val="en-US"/>
        </w:rPr>
      </w:pPr>
    </w:p>
    <w:p w14:paraId="79C5FCAA" w14:textId="7DEDED14" w:rsidR="003502FF" w:rsidRPr="003502FF" w:rsidRDefault="003502FF" w:rsidP="00E54EEA">
      <w:pPr>
        <w:pStyle w:val="NormalWeb"/>
        <w:spacing w:line="360" w:lineRule="auto"/>
        <w:jc w:val="both"/>
        <w:rPr>
          <w:b/>
          <w:bCs/>
          <w:sz w:val="28"/>
          <w:szCs w:val="28"/>
        </w:rPr>
      </w:pPr>
      <w:r w:rsidRPr="003502FF">
        <w:rPr>
          <w:b/>
          <w:bCs/>
          <w:sz w:val="28"/>
          <w:szCs w:val="28"/>
        </w:rPr>
        <w:t>Giriş</w:t>
      </w:r>
    </w:p>
    <w:p w14:paraId="35CBB252" w14:textId="1A6EF5EA" w:rsidR="003502FF" w:rsidRPr="003502FF" w:rsidRDefault="005327FD" w:rsidP="00E54EEA">
      <w:pPr>
        <w:pStyle w:val="NormalWeb"/>
        <w:spacing w:line="360" w:lineRule="auto"/>
        <w:jc w:val="both"/>
      </w:pPr>
      <w:r>
        <w:t xml:space="preserve">         </w:t>
      </w:r>
      <w:r w:rsidR="003502FF" w:rsidRPr="003502FF">
        <w:t>Günümüzde ekonomik ve sosyal tarih, tarih dalları arasında kamuoyunun ve araştırmacıların özel ilgisini çeken bir alan hâline gelmiştir. Bunun nedeni, ekonomik meselelerin insani çıkarların merkezinde yer almasıdır. Ticaret, malların değişimi ve dolaşımındaki hayati ekonomik rolünü yerine getirirken, aynı zamanda medeniyetin başlıca araçlarından biri olarak kabul edilir. Görünüşte İbn Haldun’un ifadesiyle “malı ucuza alıp pahalıya satmak”</w:t>
      </w:r>
      <w:r>
        <w:rPr>
          <w:rStyle w:val="DipnotBavurusu"/>
        </w:rPr>
        <w:footnoteReference w:id="1"/>
      </w:r>
      <w:r w:rsidRPr="003502FF">
        <w:t xml:space="preserve"> </w:t>
      </w:r>
      <w:r w:rsidR="003502FF" w:rsidRPr="003502FF">
        <w:t>tan ibaret gibi görünse de, ticaret özünde dünyanın farklı bölgeleri arasında iletişim kurma imkânlarını barındırır.</w:t>
      </w:r>
    </w:p>
    <w:p w14:paraId="6284B294" w14:textId="5F0D9AF7" w:rsidR="003502FF" w:rsidRDefault="005327FD" w:rsidP="00E54EEA">
      <w:pPr>
        <w:pStyle w:val="NormalWeb"/>
        <w:spacing w:line="360" w:lineRule="auto"/>
        <w:jc w:val="both"/>
      </w:pPr>
      <w:r>
        <w:t xml:space="preserve">        </w:t>
      </w:r>
      <w:r w:rsidR="003502FF" w:rsidRPr="003502FF">
        <w:t>Orta Çağ’da tüccarlar — ve Kârimî tüccarlar bunların en önemlileri arasında yer alır — yalnızca mal ve ürünleri Doğu ile Batı arasında taşımakla kalmamış, aynı zamanda fikirlerin, görüşlerin, adetlerin ve zevklerin aktarılmasına da katkıda bulunmuşlardır. Bu yönleriyle, savaşların, siyasetin ve din, gelenek ve kültür farklılıklarının çoğu zaman göz ardı ettiği bir ortamda, Orta Çağ dünyasının medeniyetleri arasında karşılıklı anlayışın, yakınlaşmanın ve birliğin güçlenmesinde etkili olmuşlardır.</w:t>
      </w:r>
      <w:r w:rsidR="00A414C4" w:rsidRPr="00A414C4">
        <w:t xml:space="preserve"> </w:t>
      </w:r>
      <w:r w:rsidR="00A414C4">
        <w:t>Mısır’ın ekonomik yapısının inşasında, merkezî konumunun güçlendirilmesinde ve Doğu ile Batı arasındaki liderliğinin teyit edilmesinde başlıca dayanaklardan biri olmuşlardır.</w:t>
      </w:r>
      <w:r>
        <w:rPr>
          <w:rStyle w:val="DipnotBavurusu"/>
        </w:rPr>
        <w:footnoteReference w:id="2"/>
      </w:r>
    </w:p>
    <w:p w14:paraId="3A813C97" w14:textId="27F877AD" w:rsidR="00E1538F" w:rsidRPr="00A55E0F" w:rsidRDefault="005E5D86" w:rsidP="0018127A">
      <w:pPr>
        <w:pStyle w:val="NormalWeb"/>
        <w:rPr>
          <w:b/>
          <w:bCs/>
          <w:sz w:val="28"/>
          <w:szCs w:val="28"/>
        </w:rPr>
      </w:pPr>
      <w:r w:rsidRPr="00A55E0F">
        <w:rPr>
          <w:b/>
          <w:bCs/>
          <w:sz w:val="28"/>
          <w:szCs w:val="28"/>
        </w:rPr>
        <w:t xml:space="preserve">    </w:t>
      </w:r>
      <w:r w:rsidR="00A46F15">
        <w:rPr>
          <w:b/>
          <w:bCs/>
          <w:sz w:val="28"/>
          <w:szCs w:val="28"/>
        </w:rPr>
        <w:t>1)</w:t>
      </w:r>
      <w:r w:rsidRPr="00A55E0F">
        <w:rPr>
          <w:b/>
          <w:bCs/>
          <w:sz w:val="28"/>
          <w:szCs w:val="28"/>
        </w:rPr>
        <w:t xml:space="preserve"> </w:t>
      </w:r>
      <w:r w:rsidR="00C34BA4" w:rsidRPr="00A55E0F">
        <w:rPr>
          <w:b/>
          <w:bCs/>
          <w:sz w:val="28"/>
          <w:szCs w:val="28"/>
        </w:rPr>
        <w:t xml:space="preserve"> Kârimî Tüccarların Tarihsel Kökeni Ve Kavramsal Çerçevesi</w:t>
      </w:r>
    </w:p>
    <w:p w14:paraId="51262117" w14:textId="56F2059D" w:rsidR="00334A49" w:rsidRPr="00334A49" w:rsidRDefault="005327FD" w:rsidP="002E6426">
      <w:pPr>
        <w:pStyle w:val="NormalWeb"/>
        <w:spacing w:line="360" w:lineRule="auto"/>
        <w:jc w:val="both"/>
      </w:pPr>
      <w:r>
        <w:rPr>
          <w:rStyle w:val="Vurgu"/>
          <w:rFonts w:eastAsiaTheme="majorEastAsia"/>
        </w:rPr>
        <w:t xml:space="preserve">      </w:t>
      </w:r>
      <w:r w:rsidR="002E6426">
        <w:rPr>
          <w:rStyle w:val="Vurgu"/>
          <w:rFonts w:eastAsiaTheme="majorEastAsia"/>
        </w:rPr>
        <w:t xml:space="preserve">      </w:t>
      </w:r>
      <w:r w:rsidR="00334A49">
        <w:rPr>
          <w:rStyle w:val="Vurgu"/>
          <w:rFonts w:eastAsiaTheme="majorEastAsia"/>
        </w:rPr>
        <w:t>Kârim</w:t>
      </w:r>
      <w:r w:rsidR="00334A49">
        <w:t xml:space="preserve"> terimi Arapça kaynaklarda </w:t>
      </w:r>
      <w:r w:rsidR="00334A49">
        <w:rPr>
          <w:rStyle w:val="Gl"/>
          <w:rFonts w:eastAsiaTheme="majorEastAsia"/>
        </w:rPr>
        <w:t>kârimî, ekârim, kârim</w:t>
      </w:r>
      <w:r w:rsidR="00334A49">
        <w:t xml:space="preserve"> gibi farklı biçimlerde geçmekte olup, ticari bir faaliyeti doğrudan ifade eden açık bir Arapça kökene sahip değildir. Bu durum, adlandırmanın kökeni konusunda tarihçiler arasında ciddi görüş ayrılıklarına yol açmıştır.</w:t>
      </w:r>
    </w:p>
    <w:p w14:paraId="3ED05F00" w14:textId="1DCE3E64" w:rsidR="00334A49" w:rsidRDefault="005327FD" w:rsidP="002E6426">
      <w:pPr>
        <w:pStyle w:val="NormalWeb"/>
        <w:spacing w:line="360" w:lineRule="auto"/>
        <w:jc w:val="both"/>
      </w:pPr>
      <w:r>
        <w:rPr>
          <w:rStyle w:val="Gl"/>
          <w:rFonts w:eastAsiaTheme="majorEastAsia"/>
        </w:rPr>
        <w:t xml:space="preserve">    </w:t>
      </w:r>
      <w:r w:rsidR="002E6426">
        <w:rPr>
          <w:rStyle w:val="Gl"/>
          <w:rFonts w:eastAsiaTheme="majorEastAsia"/>
        </w:rPr>
        <w:t xml:space="preserve"> </w:t>
      </w:r>
      <w:r>
        <w:rPr>
          <w:rStyle w:val="Gl"/>
          <w:rFonts w:eastAsiaTheme="majorEastAsia"/>
        </w:rPr>
        <w:t xml:space="preserve">  </w:t>
      </w:r>
      <w:r w:rsidR="00334A49">
        <w:rPr>
          <w:rStyle w:val="Gl"/>
          <w:rFonts w:eastAsiaTheme="majorEastAsia"/>
        </w:rPr>
        <w:t>Makrîzî</w:t>
      </w:r>
      <w:r w:rsidR="00334A49">
        <w:t xml:space="preserve">, bu adlandırmanın Batı Sudan’da yer alan ve İslamî bir bölge olan </w:t>
      </w:r>
      <w:r w:rsidR="00334A49">
        <w:rPr>
          <w:rStyle w:val="Gl"/>
          <w:rFonts w:eastAsiaTheme="majorEastAsia"/>
        </w:rPr>
        <w:t>Kânim</w:t>
      </w:r>
      <w:r w:rsidR="00334A49">
        <w:t xml:space="preserve">’den türediğini, buradan gelen tüccarların </w:t>
      </w:r>
      <w:r w:rsidR="00334A49">
        <w:rPr>
          <w:rStyle w:val="Vurgu"/>
          <w:rFonts w:eastAsiaTheme="majorEastAsia"/>
        </w:rPr>
        <w:t>Kânimî</w:t>
      </w:r>
      <w:r w:rsidR="00334A49">
        <w:t xml:space="preserve"> olarak adlandırıldığını ileri sürmektedir. Bu görüş birçok Arap tarihçi tarafından benimsenmiş, ancak bazı müsteşrikler tarafından reddedilmiştir.</w:t>
      </w:r>
    </w:p>
    <w:p w14:paraId="5DC04D50" w14:textId="3456D3D0" w:rsidR="00334A49" w:rsidRDefault="005327FD" w:rsidP="002E6426">
      <w:pPr>
        <w:pStyle w:val="NormalWeb"/>
        <w:spacing w:line="360" w:lineRule="auto"/>
        <w:jc w:val="both"/>
      </w:pPr>
      <w:r>
        <w:lastRenderedPageBreak/>
        <w:t xml:space="preserve">    </w:t>
      </w:r>
      <w:r w:rsidR="00334A49">
        <w:t xml:space="preserve">Başka bir görüşe göre terim, Güney Hindistan’da konuşulan </w:t>
      </w:r>
      <w:r w:rsidR="00334A49">
        <w:rPr>
          <w:rStyle w:val="Gl"/>
          <w:rFonts w:eastAsiaTheme="majorEastAsia"/>
        </w:rPr>
        <w:t>Tamil dili</w:t>
      </w:r>
      <w:r w:rsidR="00334A49">
        <w:t xml:space="preserve">ne dayanmaktadır. </w:t>
      </w:r>
      <w:r w:rsidR="00334A49">
        <w:rPr>
          <w:rStyle w:val="Vurgu"/>
          <w:rFonts w:eastAsiaTheme="majorEastAsia"/>
        </w:rPr>
        <w:t>Kariyam</w:t>
      </w:r>
      <w:r w:rsidR="00334A49">
        <w:t xml:space="preserve"> kelimesi “işler” veya “faaliyetler” anlamına gelmekte olup, özellikle Mısır’a ithal edilen </w:t>
      </w:r>
      <w:r w:rsidR="00334A49">
        <w:rPr>
          <w:rStyle w:val="Gl"/>
          <w:rFonts w:eastAsiaTheme="majorEastAsia"/>
        </w:rPr>
        <w:t>kehribar (kârim)</w:t>
      </w:r>
      <w:r w:rsidR="00334A49">
        <w:t xml:space="preserve"> ticaretiyle bağlantılı olduğu ileri sürülmüştür. Bu bağlamda, Kârimîlerin Kûs şehrinde bir loncaya sahip oldukları da belirtilmektedir.</w:t>
      </w:r>
      <w:r w:rsidRPr="005327FD">
        <w:t xml:space="preserve"> </w:t>
      </w:r>
      <w:r>
        <w:t xml:space="preserve">ayrıca adlandırmanın, Hindistan kökenli bazı ticari ürünlerden, özellikle </w:t>
      </w:r>
      <w:r>
        <w:rPr>
          <w:rStyle w:val="Gl"/>
          <w:rFonts w:eastAsiaTheme="majorEastAsia"/>
        </w:rPr>
        <w:t>kakule (Cardamom)</w:t>
      </w:r>
      <w:r>
        <w:t xml:space="preserve"> ticaretinden türediğini savunan yaklaşımlar da mevcuttur. Kakulenin tarih boyunca farklı bölgelerde değişik adlarla bilindiği ve Doğu ticaretinde önemli bir yere sahip olduğu bilinmektedir.</w:t>
      </w:r>
    </w:p>
    <w:p w14:paraId="273DA141" w14:textId="1E17C5B1" w:rsidR="001176B9" w:rsidRDefault="005327FD" w:rsidP="002E6426">
      <w:pPr>
        <w:pStyle w:val="NormalWeb"/>
        <w:spacing w:line="360" w:lineRule="auto"/>
        <w:jc w:val="both"/>
      </w:pPr>
      <w:r>
        <w:t xml:space="preserve">  </w:t>
      </w:r>
      <w:r w:rsidR="00334A49">
        <w:t>Diğer bir görüş ise ismin,</w:t>
      </w:r>
      <w:r w:rsidR="00334A49" w:rsidRPr="002E6426">
        <w:rPr>
          <w:b/>
          <w:bCs/>
        </w:rPr>
        <w:t xml:space="preserve"> </w:t>
      </w:r>
      <w:r w:rsidR="00334A49" w:rsidRPr="002E6426">
        <w:rPr>
          <w:rStyle w:val="Vurgu"/>
          <w:rFonts w:eastAsiaTheme="majorEastAsia"/>
          <w:b/>
          <w:bCs/>
        </w:rPr>
        <w:t>Kerîm</w:t>
      </w:r>
      <w:r w:rsidR="00334A49">
        <w:t xml:space="preserve"> adlı bir kişiden, tüccarların cömertliğiyle ilişkilendirilen </w:t>
      </w:r>
      <w:r w:rsidR="00334A49">
        <w:rPr>
          <w:rStyle w:val="Gl"/>
          <w:rFonts w:eastAsiaTheme="majorEastAsia"/>
        </w:rPr>
        <w:t>kerem</w:t>
      </w:r>
      <w:r w:rsidR="00334A49">
        <w:t xml:space="preserve"> sıfatından ya da zamanla kalıplaşmış halk deyimlerinden türediğini ileri sürmektedir. </w:t>
      </w:r>
      <w:r>
        <w:rPr>
          <w:rStyle w:val="Gl"/>
          <w:rFonts w:eastAsiaTheme="majorEastAsia"/>
        </w:rPr>
        <w:t>Kalkeşendî</w:t>
      </w:r>
      <w:r>
        <w:t>, terimin divan kayıtlarında bu şekilde kullanıldığını, ancak Arapçada açık bir anlamının bulunmadığını ifade etmektedir.</w:t>
      </w:r>
      <w:r w:rsidRPr="005327FD">
        <w:t xml:space="preserve"> </w:t>
      </w:r>
      <w:r>
        <w:t xml:space="preserve">Güney Hindistan’da ticaretle uğraşan üst sosyal sınıf </w:t>
      </w:r>
      <w:r>
        <w:rPr>
          <w:rStyle w:val="Gl"/>
          <w:rFonts w:eastAsiaTheme="majorEastAsia"/>
        </w:rPr>
        <w:t>Chetty</w:t>
      </w:r>
      <w:r>
        <w:t xml:space="preserve"> olarak adlandırılmakta olup, bu grubun Mısır’daki karşılığının </w:t>
      </w:r>
      <w:r w:rsidRPr="00E350C0">
        <w:rPr>
          <w:rStyle w:val="Vurgu"/>
          <w:rFonts w:eastAsiaTheme="majorEastAsia"/>
          <w:b/>
          <w:bCs/>
        </w:rPr>
        <w:t>Kârimî</w:t>
      </w:r>
      <w:r w:rsidRPr="00E350C0">
        <w:rPr>
          <w:b/>
          <w:bCs/>
        </w:rPr>
        <w:t xml:space="preserve"> </w:t>
      </w:r>
      <w:r>
        <w:t>olduğu belirtilmektedir. Bu durum, iki topluluk arasında işlevsel ve sosyal bir benzerliğe işaret etmektedir.</w:t>
      </w:r>
    </w:p>
    <w:p w14:paraId="382A7E12" w14:textId="77777777" w:rsidR="00334A49" w:rsidRDefault="00334A49" w:rsidP="002E6426">
      <w:pPr>
        <w:pStyle w:val="NormalWeb"/>
        <w:spacing w:line="360" w:lineRule="auto"/>
        <w:jc w:val="both"/>
      </w:pPr>
      <w:r>
        <w:rPr>
          <w:rStyle w:val="Gl"/>
          <w:rFonts w:eastAsiaTheme="majorEastAsia"/>
        </w:rPr>
        <w:t>Geniza belgeleri</w:t>
      </w:r>
      <w:r>
        <w:t xml:space="preserve">, Akdeniz ile Hint Okyanusu arasındaki ticaret ağının genişliğini ortaya koymakta; Kârimîlerin münferit tüccarlar değil, kurumsallaşmış ve örgütlü bir ticaret topluluğu olduklarını göstermektedir. Bu belgeler ayrıca, Müslüman tüccarların Avrupa hâkimiyetinden önce </w:t>
      </w:r>
      <w:r>
        <w:rPr>
          <w:rStyle w:val="Gl"/>
          <w:rFonts w:eastAsiaTheme="majorEastAsia"/>
        </w:rPr>
        <w:t>seftece, çek ve mudârebe</w:t>
      </w:r>
      <w:r>
        <w:t xml:space="preserve"> gibi ticari teknikleri geliştirdiklerini ortaya koymaktadır.</w:t>
      </w:r>
    </w:p>
    <w:p w14:paraId="3C07CC1A" w14:textId="46B6A9AA" w:rsidR="00334A49" w:rsidRDefault="00334A49" w:rsidP="002E6426">
      <w:pPr>
        <w:pStyle w:val="NormalWeb"/>
        <w:spacing w:line="360" w:lineRule="auto"/>
        <w:jc w:val="both"/>
      </w:pPr>
      <w:r>
        <w:t xml:space="preserve">Kaynakların büyük çoğunluğu, Kârim ticaretinin </w:t>
      </w:r>
      <w:r>
        <w:rPr>
          <w:rStyle w:val="Gl"/>
          <w:rFonts w:eastAsiaTheme="majorEastAsia"/>
        </w:rPr>
        <w:t>Fâtımîler döneminde</w:t>
      </w:r>
      <w:r>
        <w:t xml:space="preserve"> (357–467/968–1075) belirgin biçimde ortaya çıktığı konusunda hemfikirdir. 440/1048 yılında Kârim ticaretinin kesintiye uğramasının fiyat artışlarına yol açtığına dair kayıtlar, bu faaliyetin söz konusu tarihten önce de var olduğunu göstermektedir. Buna karşılık Makrîzî’nin, Kârimîlerin Kahire’ye ilk kez Eyyûbîler döneminde geldiklerini belirtmesi, bu tüccar grubunun farklı coğrafi ve etnik kökenlere sahip olduğunu düşündürmektedir.</w:t>
      </w:r>
      <w:r w:rsidR="005327FD">
        <w:rPr>
          <w:rStyle w:val="DipnotBavurusu"/>
        </w:rPr>
        <w:footnoteReference w:id="3"/>
      </w:r>
    </w:p>
    <w:p w14:paraId="154A80EC" w14:textId="62D926A0" w:rsidR="00812BBB" w:rsidRPr="00334A49" w:rsidRDefault="002E6426" w:rsidP="002E6426">
      <w:pPr>
        <w:pStyle w:val="NormalWeb"/>
        <w:spacing w:line="360" w:lineRule="auto"/>
        <w:jc w:val="both"/>
      </w:pPr>
      <w:r>
        <w:t xml:space="preserve">     </w:t>
      </w:r>
      <w:r w:rsidR="00812BBB">
        <w:t xml:space="preserve">Kârimî terimi, baharat ve aromatik maddeler ticaretini büyük ölçüde tekelinde bulunduran seçkin bir tüccar zümresini ifade etmek üzere kullanılan bir adlandırmadır. Bu zümre, Mısır toprakları ile Yemen arasındaki ticaret hattı ile Arap Yarımadası’nın güneyi, Hindistan ve Uzak </w:t>
      </w:r>
      <w:r w:rsidR="00812BBB">
        <w:lastRenderedPageBreak/>
        <w:t>Doğu’yu kapsayan geniş coğrafyada yürütülen kârim (baharat) ticaretinde belirleyici bir rol üstlenmiştir.</w:t>
      </w:r>
      <w:r w:rsidR="005327FD">
        <w:rPr>
          <w:rStyle w:val="DipnotBavurusu"/>
        </w:rPr>
        <w:footnoteReference w:id="4"/>
      </w:r>
    </w:p>
    <w:p w14:paraId="56706905" w14:textId="1637C827" w:rsidR="00231C90" w:rsidRPr="00891266" w:rsidRDefault="00231C90" w:rsidP="002E6426">
      <w:pPr>
        <w:pStyle w:val="NormalWeb"/>
        <w:spacing w:line="360" w:lineRule="auto"/>
        <w:jc w:val="both"/>
      </w:pPr>
      <w:r>
        <w:t>Karmîlerle bağlantılı olan en önemli bölgeler ve mensup oldukları tüccar aileleri şunlardır:</w:t>
      </w:r>
    </w:p>
    <w:p w14:paraId="112C7655" w14:textId="7FD92F63" w:rsidR="00231C90" w:rsidRDefault="00231C90" w:rsidP="002E6426">
      <w:pPr>
        <w:pStyle w:val="NormalWeb"/>
        <w:numPr>
          <w:ilvl w:val="0"/>
          <w:numId w:val="1"/>
        </w:numPr>
        <w:spacing w:line="360" w:lineRule="auto"/>
        <w:jc w:val="both"/>
      </w:pPr>
      <w:r>
        <w:rPr>
          <w:rStyle w:val="Gl"/>
          <w:rFonts w:eastAsiaTheme="majorEastAsia"/>
        </w:rPr>
        <w:t>Mısır</w:t>
      </w:r>
      <w:r>
        <w:t>:</w:t>
      </w:r>
      <w:r w:rsidRPr="00231C90">
        <w:t xml:space="preserve"> </w:t>
      </w:r>
      <w:r>
        <w:t xml:space="preserve">Dimyat, İskenderiye ve Kahire. </w:t>
      </w:r>
      <w:r>
        <w:rPr>
          <w:rStyle w:val="Vurgu"/>
          <w:rFonts w:eastAsiaTheme="majorEastAsia"/>
        </w:rPr>
        <w:t>el-Harârîyye ailesi</w:t>
      </w:r>
      <w:r>
        <w:t xml:space="preserve"> (Harûbe köyüne nispetle).</w:t>
      </w:r>
    </w:p>
    <w:p w14:paraId="0F11C9D0" w14:textId="7E739571" w:rsidR="00231C90" w:rsidRDefault="00231C90" w:rsidP="002E6426">
      <w:pPr>
        <w:pStyle w:val="NormalWeb"/>
        <w:numPr>
          <w:ilvl w:val="0"/>
          <w:numId w:val="1"/>
        </w:numPr>
        <w:spacing w:line="360" w:lineRule="auto"/>
        <w:jc w:val="both"/>
      </w:pPr>
      <w:r>
        <w:rPr>
          <w:rStyle w:val="Gl"/>
          <w:rFonts w:eastAsiaTheme="majorEastAsia"/>
        </w:rPr>
        <w:t>Mağrib (Fas)</w:t>
      </w:r>
      <w:r>
        <w:t>:</w:t>
      </w:r>
      <w:r w:rsidRPr="00231C90">
        <w:t xml:space="preserve"> </w:t>
      </w:r>
      <w:r>
        <w:t>Tamgrut.</w:t>
      </w:r>
      <w:r w:rsidRPr="00231C90">
        <w:rPr>
          <w:rStyle w:val="Vurgu"/>
          <w:rFonts w:eastAsiaTheme="majorEastAsia"/>
        </w:rPr>
        <w:t xml:space="preserve"> </w:t>
      </w:r>
      <w:r>
        <w:rPr>
          <w:rStyle w:val="Vurgu"/>
          <w:rFonts w:eastAsiaTheme="majorEastAsia"/>
        </w:rPr>
        <w:t>eş-Şerâbî ailesi</w:t>
      </w:r>
      <w:r>
        <w:t>.</w:t>
      </w:r>
    </w:p>
    <w:p w14:paraId="1521EE4B" w14:textId="3339022B" w:rsidR="00231C90" w:rsidRDefault="00231C90" w:rsidP="002E6426">
      <w:pPr>
        <w:pStyle w:val="NormalWeb"/>
        <w:numPr>
          <w:ilvl w:val="0"/>
          <w:numId w:val="1"/>
        </w:numPr>
        <w:spacing w:line="360" w:lineRule="auto"/>
        <w:jc w:val="both"/>
      </w:pPr>
      <w:r>
        <w:rPr>
          <w:rStyle w:val="Gl"/>
          <w:rFonts w:eastAsiaTheme="majorEastAsia"/>
        </w:rPr>
        <w:t>Fars</w:t>
      </w:r>
      <w:r>
        <w:t>: Şiraz.</w:t>
      </w:r>
      <w:r w:rsidRPr="00231C90">
        <w:rPr>
          <w:rStyle w:val="Vurgu"/>
          <w:rFonts w:eastAsiaTheme="majorEastAsia"/>
        </w:rPr>
        <w:t xml:space="preserve"> </w:t>
      </w:r>
      <w:r>
        <w:rPr>
          <w:rStyle w:val="Vurgu"/>
          <w:rFonts w:eastAsiaTheme="majorEastAsia"/>
        </w:rPr>
        <w:t>el-Kâzerûnî ailesi</w:t>
      </w:r>
      <w:r>
        <w:t>.</w:t>
      </w:r>
    </w:p>
    <w:p w14:paraId="51BF624D" w14:textId="53608D07" w:rsidR="00231C90" w:rsidRDefault="00231C90" w:rsidP="002E6426">
      <w:pPr>
        <w:pStyle w:val="NormalWeb"/>
        <w:numPr>
          <w:ilvl w:val="0"/>
          <w:numId w:val="1"/>
        </w:numPr>
        <w:spacing w:line="360" w:lineRule="auto"/>
        <w:jc w:val="both"/>
      </w:pPr>
      <w:r>
        <w:rPr>
          <w:rStyle w:val="Gl"/>
          <w:rFonts w:eastAsiaTheme="majorEastAsia"/>
        </w:rPr>
        <w:t>Yemen</w:t>
      </w:r>
      <w:r>
        <w:t>:</w:t>
      </w:r>
      <w:r w:rsidRPr="00231C90">
        <w:t xml:space="preserve"> </w:t>
      </w:r>
      <w:r>
        <w:t>Hadramut bölgesi.</w:t>
      </w:r>
      <w:r w:rsidRPr="00231C90">
        <w:rPr>
          <w:rStyle w:val="Vurgu"/>
          <w:rFonts w:eastAsiaTheme="majorEastAsia"/>
        </w:rPr>
        <w:t xml:space="preserve"> </w:t>
      </w:r>
      <w:r>
        <w:rPr>
          <w:rStyle w:val="Vurgu"/>
          <w:rFonts w:eastAsiaTheme="majorEastAsia"/>
        </w:rPr>
        <w:t>Hadramî tüccarlar</w:t>
      </w:r>
      <w:r>
        <w:t>.</w:t>
      </w:r>
    </w:p>
    <w:p w14:paraId="362B0083" w14:textId="39A43900" w:rsidR="00231C90" w:rsidRDefault="00231C90" w:rsidP="002E6426">
      <w:pPr>
        <w:pStyle w:val="NormalWeb"/>
        <w:numPr>
          <w:ilvl w:val="0"/>
          <w:numId w:val="1"/>
        </w:numPr>
        <w:spacing w:line="360" w:lineRule="auto"/>
        <w:jc w:val="both"/>
      </w:pPr>
      <w:r>
        <w:rPr>
          <w:rStyle w:val="Gl"/>
          <w:rFonts w:eastAsiaTheme="majorEastAsia"/>
        </w:rPr>
        <w:t>Şam Bölgesi</w:t>
      </w:r>
      <w:r>
        <w:t>:</w:t>
      </w:r>
      <w:r w:rsidRPr="00231C90">
        <w:t xml:space="preserve"> </w:t>
      </w:r>
      <w:r>
        <w:t>Şamlı tüccarların Irak ve Mısır’a geldiklerine dair kayıtlar mevcuttur. Bu tüccarlar, sultanlar nezdinde itibarlı bir konuma sahip olmuş ve onlar adına ticaret yapmışlardır.</w:t>
      </w:r>
    </w:p>
    <w:p w14:paraId="2ABF6195" w14:textId="2692B420" w:rsidR="00231C90" w:rsidRDefault="00231C90" w:rsidP="002E6426">
      <w:pPr>
        <w:pStyle w:val="NormalWeb"/>
        <w:numPr>
          <w:ilvl w:val="0"/>
          <w:numId w:val="1"/>
        </w:numPr>
        <w:spacing w:line="360" w:lineRule="auto"/>
        <w:jc w:val="both"/>
      </w:pPr>
      <w:r>
        <w:rPr>
          <w:rStyle w:val="Gl"/>
          <w:rFonts w:eastAsiaTheme="majorEastAsia"/>
        </w:rPr>
        <w:t>Irak</w:t>
      </w:r>
      <w:r>
        <w:t>:</w:t>
      </w:r>
      <w:r w:rsidRPr="00231C90">
        <w:t xml:space="preserve"> </w:t>
      </w:r>
      <w:r>
        <w:t>Tikrit ve Musul.</w:t>
      </w:r>
      <w:r w:rsidRPr="00231C90">
        <w:rPr>
          <w:rStyle w:val="Vurgu"/>
          <w:rFonts w:eastAsiaTheme="majorEastAsia"/>
        </w:rPr>
        <w:t xml:space="preserve"> </w:t>
      </w:r>
      <w:r>
        <w:rPr>
          <w:rStyle w:val="Vurgu"/>
          <w:rFonts w:eastAsiaTheme="majorEastAsia"/>
        </w:rPr>
        <w:t>et-Tikrîtî ailesi</w:t>
      </w:r>
      <w:r>
        <w:t xml:space="preserve"> ve </w:t>
      </w:r>
      <w:r>
        <w:rPr>
          <w:rStyle w:val="Vurgu"/>
          <w:rFonts w:eastAsiaTheme="majorEastAsia"/>
        </w:rPr>
        <w:t>el-Bağdâdî ailesi</w:t>
      </w:r>
      <w:r>
        <w:t>.</w:t>
      </w:r>
    </w:p>
    <w:p w14:paraId="0B0F4941" w14:textId="48464702" w:rsidR="00231C90" w:rsidRDefault="00231C90" w:rsidP="002E6426">
      <w:pPr>
        <w:pStyle w:val="NormalWeb"/>
        <w:numPr>
          <w:ilvl w:val="0"/>
          <w:numId w:val="1"/>
        </w:numPr>
        <w:spacing w:line="360" w:lineRule="auto"/>
        <w:jc w:val="both"/>
      </w:pPr>
      <w:r>
        <w:rPr>
          <w:rStyle w:val="Gl"/>
          <w:rFonts w:eastAsiaTheme="majorEastAsia"/>
        </w:rPr>
        <w:t>Hindistan</w:t>
      </w:r>
      <w:r>
        <w:t xml:space="preserve">: el-Ma‘ber ve Ouc (Uç) bölgeleri </w:t>
      </w:r>
      <w:r>
        <w:rPr>
          <w:rStyle w:val="Vurgu"/>
          <w:rFonts w:eastAsiaTheme="majorEastAsia"/>
        </w:rPr>
        <w:t>el-Kûblî</w:t>
      </w:r>
      <w:r>
        <w:t xml:space="preserve"> ve </w:t>
      </w:r>
      <w:r>
        <w:rPr>
          <w:rStyle w:val="Vurgu"/>
          <w:rFonts w:eastAsiaTheme="majorEastAsia"/>
        </w:rPr>
        <w:t>el-Ma‘berî aileleri</w:t>
      </w:r>
      <w:r>
        <w:t>.</w:t>
      </w:r>
    </w:p>
    <w:p w14:paraId="6479F7F6" w14:textId="55956BBB" w:rsidR="00231C90" w:rsidRDefault="00231C90" w:rsidP="002E6426">
      <w:pPr>
        <w:pStyle w:val="NormalWeb"/>
        <w:numPr>
          <w:ilvl w:val="0"/>
          <w:numId w:val="1"/>
        </w:numPr>
        <w:spacing w:line="360" w:lineRule="auto"/>
        <w:jc w:val="both"/>
      </w:pPr>
      <w:r>
        <w:rPr>
          <w:rStyle w:val="Gl"/>
          <w:rFonts w:eastAsiaTheme="majorEastAsia"/>
        </w:rPr>
        <w:t>Afrika</w:t>
      </w:r>
      <w:r>
        <w:t>:</w:t>
      </w:r>
      <w:r w:rsidRPr="00231C90">
        <w:t xml:space="preserve"> </w:t>
      </w:r>
      <w:r>
        <w:t>Tekrûr bölgesi.</w:t>
      </w:r>
    </w:p>
    <w:p w14:paraId="362A7ECC" w14:textId="1F1F024B" w:rsidR="00231C90" w:rsidRDefault="00231C90" w:rsidP="002E6426">
      <w:pPr>
        <w:pStyle w:val="NormalWeb"/>
        <w:numPr>
          <w:ilvl w:val="0"/>
          <w:numId w:val="1"/>
        </w:numPr>
        <w:spacing w:line="360" w:lineRule="auto"/>
        <w:jc w:val="both"/>
      </w:pPr>
      <w:r>
        <w:rPr>
          <w:rStyle w:val="Gl"/>
          <w:rFonts w:eastAsiaTheme="majorEastAsia"/>
        </w:rPr>
        <w:t>Endülüs</w:t>
      </w:r>
      <w:r>
        <w:t>:</w:t>
      </w:r>
      <w:r w:rsidRPr="00231C90">
        <w:t xml:space="preserve"> </w:t>
      </w:r>
      <w:r>
        <w:t xml:space="preserve">Şâtıbe ve Kurtuba </w:t>
      </w:r>
    </w:p>
    <w:p w14:paraId="174F1734" w14:textId="2B38765F" w:rsidR="00231C90" w:rsidRDefault="00231C90" w:rsidP="002E6426">
      <w:pPr>
        <w:pStyle w:val="NormalWeb"/>
        <w:numPr>
          <w:ilvl w:val="0"/>
          <w:numId w:val="1"/>
        </w:numPr>
        <w:spacing w:line="360" w:lineRule="auto"/>
        <w:jc w:val="both"/>
      </w:pPr>
      <w:r>
        <w:rPr>
          <w:rStyle w:val="Gl"/>
          <w:rFonts w:eastAsiaTheme="majorEastAsia"/>
        </w:rPr>
        <w:t>Hicaz</w:t>
      </w:r>
      <w:r>
        <w:t>: .</w:t>
      </w:r>
      <w:r w:rsidRPr="00231C90">
        <w:t xml:space="preserve"> </w:t>
      </w:r>
      <w:r>
        <w:t>Mekke, onları bir araya getiren merkez konumundaydı. Hacca, ziyaret ve ikamet (mücâvere) ile ticaret amacıyla sıkça gitmeleri sebebiyle, pek çoğu burada vefat etmiştir</w:t>
      </w:r>
      <w:r w:rsidR="005327FD">
        <w:rPr>
          <w:rStyle w:val="DipnotBavurusu"/>
        </w:rPr>
        <w:footnoteReference w:id="5"/>
      </w:r>
    </w:p>
    <w:p w14:paraId="541D271A" w14:textId="4F86E8AD" w:rsidR="00534B7F" w:rsidRPr="004831A3" w:rsidRDefault="00A55E0F" w:rsidP="00A55E0F">
      <w:pPr>
        <w:pStyle w:val="NormalWeb"/>
        <w:rPr>
          <w:b/>
          <w:bCs/>
          <w:sz w:val="28"/>
          <w:szCs w:val="28"/>
        </w:rPr>
      </w:pPr>
      <w:r>
        <w:rPr>
          <w:b/>
          <w:bCs/>
          <w:sz w:val="28"/>
          <w:szCs w:val="28"/>
        </w:rPr>
        <w:t xml:space="preserve">   </w:t>
      </w:r>
      <w:r w:rsidR="00A46F15">
        <w:rPr>
          <w:b/>
          <w:bCs/>
          <w:sz w:val="28"/>
          <w:szCs w:val="28"/>
        </w:rPr>
        <w:t>2)</w:t>
      </w:r>
      <w:r>
        <w:rPr>
          <w:b/>
          <w:bCs/>
          <w:sz w:val="28"/>
          <w:szCs w:val="28"/>
        </w:rPr>
        <w:t xml:space="preserve"> </w:t>
      </w:r>
      <w:r w:rsidR="00534B7F" w:rsidRPr="00A55E0F">
        <w:rPr>
          <w:b/>
          <w:bCs/>
          <w:sz w:val="28"/>
          <w:szCs w:val="28"/>
        </w:rPr>
        <w:t>Kârimî Ticaretinin Ortaya Çıkışı</w:t>
      </w:r>
    </w:p>
    <w:p w14:paraId="48CB9C61" w14:textId="263D3154" w:rsidR="00891266" w:rsidRDefault="00891266" w:rsidP="002E6426">
      <w:pPr>
        <w:pStyle w:val="NormalWeb"/>
        <w:spacing w:line="360" w:lineRule="auto"/>
        <w:jc w:val="both"/>
      </w:pPr>
      <w:r w:rsidRPr="00891266">
        <w:t>kârimî</w:t>
      </w:r>
      <w:r>
        <w:t xml:space="preserve"> ticaretinin ortaya çıkışı, Fâtımî Devleti dönemine, özellikle de Halife el-Müstansır Billâh’ın hilafeti zamanına (427–487 H / 1035–1094 M) dayanır kaynaklara göre, Fâtımîler bu dönemde Ayzab, Sevâkin ve çevresinde bir deniz filosuna sahipti. Bunun amacı, Kızıldeniz (Külzüm) adalarında bulunan ticaret gemilerini korumaktı. Bu durum, karim ticaretinin Fâtımîler döneminde bilindiğini ve aktif olarak yapıldığını göstermektedir.</w:t>
      </w:r>
      <w:r w:rsidRPr="00891266">
        <w:t xml:space="preserve"> </w:t>
      </w:r>
      <w:r>
        <w:t>Bu ticaretle ilgili açık ve net bilgiler, özellikle ticari faaliyetleri konu alan Geniza belgelerinde yer almaktadır. Belgeler, Mısır’daki bazı zengin ailelerin yürüttüğü ticari faaliyetlerin büyüklüğünü de ortaya koymaktadır.</w:t>
      </w:r>
      <w:r>
        <w:rPr>
          <w:rStyle w:val="DipnotBavurusu"/>
        </w:rPr>
        <w:footnoteReference w:id="6"/>
      </w:r>
      <w:r>
        <w:t xml:space="preserve"> Bu aileler </w:t>
      </w:r>
      <w:r>
        <w:lastRenderedPageBreak/>
        <w:t>arasında en meşhuru, Ebu’l-Ferec Yusuf b.</w:t>
      </w:r>
      <w:r w:rsidRPr="00891266">
        <w:t xml:space="preserve"> </w:t>
      </w:r>
      <w:r>
        <w:t>Yakup b. Avkel ailesidir. Bu aileye ait belgeler, Geniza evrakları içinde zanaat ve ticari faaliyetlere dair en eski arşiv olarak kabul edilmektedir.</w:t>
      </w:r>
      <w:r>
        <w:rPr>
          <w:rStyle w:val="DipnotBavurusu"/>
        </w:rPr>
        <w:footnoteReference w:id="7"/>
      </w:r>
    </w:p>
    <w:p w14:paraId="750936E4" w14:textId="7D92A957" w:rsidR="004126EB" w:rsidRDefault="004126EB" w:rsidP="00A55E0F">
      <w:pPr>
        <w:pStyle w:val="NormalWeb"/>
        <w:spacing w:line="360" w:lineRule="auto"/>
        <w:jc w:val="both"/>
      </w:pPr>
      <w:r>
        <w:t xml:space="preserve">     </w:t>
      </w:r>
      <w:r w:rsidR="00A55E0F">
        <w:t xml:space="preserve"> </w:t>
      </w:r>
      <w:r>
        <w:t xml:space="preserve"> Başlangıçta Kârim ticareti yalnızca Müslüman tüccarlarla sınırlıydı. Ancak daha sonra Müslümanlar, Yahudilere de bu ticareti yapma izni verdiler. Bu izin, Yahudilerin Müslüman tüccarlara ait ve aslen Hindistan’a giden ticaret gemileriyle yolculuk etmeleri şeklinde oldu. Böylece Yahudi çevrelerinde “Kârim”, zamanla Hindistan ticareti ile eş anlamlı hâle geldi.</w:t>
      </w:r>
      <w:r>
        <w:rPr>
          <w:rStyle w:val="DipnotBavurusu"/>
        </w:rPr>
        <w:footnoteReference w:id="8"/>
      </w:r>
      <w:r w:rsidR="00A55E0F">
        <w:t xml:space="preserve">     Daha sonraki dönemde Kârim tüccarlığı, temeli İslam’a dayanan İslami bir ticari kuruma dönüştü ve bu kuruma mensup olanları bir araya getirdi.</w:t>
      </w:r>
      <w:r w:rsidR="00A55E0F" w:rsidRPr="005B32B9">
        <w:t xml:space="preserve"> </w:t>
      </w:r>
      <w:r w:rsidR="00A55E0F">
        <w:t xml:space="preserve">Onlardan biri olmak isteyenin </w:t>
      </w:r>
      <w:r w:rsidR="00A55E0F">
        <w:rPr>
          <w:rStyle w:val="Gl"/>
          <w:rFonts w:eastAsiaTheme="majorEastAsia"/>
        </w:rPr>
        <w:t>İslam’a girmesi ve bu dine bağlı kalarak yerleşmesi</w:t>
      </w:r>
      <w:r w:rsidR="00A55E0F">
        <w:t xml:space="preserve"> gerekiyordu.</w:t>
      </w:r>
      <w:r w:rsidR="00A55E0F">
        <w:rPr>
          <w:rStyle w:val="DipnotBavurusu"/>
        </w:rPr>
        <w:footnoteReference w:id="9"/>
      </w:r>
      <w:r w:rsidR="00A55E0F">
        <w:t xml:space="preserve"> Tarihî kaynaklarda, Kârim ticaretiyle uğraşırken Mısır’daki bazı Kıptilerin İslam’ı kabul ettiğine dair bilgiler yer almaktadır. Buna örnek olarak tüccar İzzeddin Abdülaziz gösterilebilir. Onun babası, Suriye’nin Halep şehrinden Yahudi biriydi ve 714 H / 1314 M yılında İslam’ı kabul etmiştir.</w:t>
      </w:r>
      <w:r w:rsidR="00A55E0F">
        <w:rPr>
          <w:rStyle w:val="DipnotBavurusu"/>
        </w:rPr>
        <w:footnoteReference w:id="10"/>
      </w:r>
    </w:p>
    <w:p w14:paraId="3993F068" w14:textId="50B03B01" w:rsidR="007E28A6" w:rsidRDefault="007E28A6" w:rsidP="007E28A6">
      <w:pPr>
        <w:pStyle w:val="NormalWeb"/>
        <w:rPr>
          <w:b/>
          <w:bCs/>
          <w:sz w:val="28"/>
          <w:szCs w:val="28"/>
        </w:rPr>
      </w:pPr>
      <w:r>
        <w:rPr>
          <w:b/>
          <w:bCs/>
          <w:sz w:val="28"/>
          <w:szCs w:val="28"/>
        </w:rPr>
        <w:t xml:space="preserve">      </w:t>
      </w:r>
      <w:r w:rsidR="00A46F15">
        <w:rPr>
          <w:b/>
          <w:bCs/>
          <w:sz w:val="28"/>
          <w:szCs w:val="28"/>
        </w:rPr>
        <w:t xml:space="preserve">3) </w:t>
      </w:r>
      <w:r w:rsidRPr="007E28A6">
        <w:rPr>
          <w:b/>
          <w:bCs/>
          <w:sz w:val="28"/>
          <w:szCs w:val="28"/>
        </w:rPr>
        <w:t>Kârimî Tüccarların Ekonomik Faaliyetleri</w:t>
      </w:r>
    </w:p>
    <w:p w14:paraId="7530AC7E" w14:textId="2806C925" w:rsidR="004C102C" w:rsidRPr="004831A3" w:rsidRDefault="004C102C" w:rsidP="004C102C">
      <w:pPr>
        <w:pStyle w:val="NormalWeb"/>
      </w:pPr>
      <w:r>
        <w:rPr>
          <w:b/>
          <w:bCs/>
          <w:sz w:val="28"/>
          <w:szCs w:val="28"/>
        </w:rPr>
        <w:t xml:space="preserve">            3.1 </w:t>
      </w:r>
      <w:r w:rsidRPr="004C102C">
        <w:rPr>
          <w:b/>
          <w:bCs/>
        </w:rPr>
        <w:t>Ticaret Yolları ve En Önemli Merkezleri</w:t>
      </w:r>
    </w:p>
    <w:p w14:paraId="16F9A8E9" w14:textId="02F5241D" w:rsidR="00C83771" w:rsidRPr="00C83771" w:rsidRDefault="007E28A6" w:rsidP="00D0287E">
      <w:pPr>
        <w:pStyle w:val="NormalWeb"/>
        <w:spacing w:line="360" w:lineRule="auto"/>
        <w:jc w:val="both"/>
        <w:rPr>
          <w:rtl/>
          <w:lang w:val="en-US"/>
        </w:rPr>
      </w:pPr>
      <w:r>
        <w:rPr>
          <w:rStyle w:val="Gl"/>
          <w:rFonts w:eastAsiaTheme="majorEastAsia"/>
          <w:b w:val="0"/>
          <w:bCs w:val="0"/>
        </w:rPr>
        <w:t xml:space="preserve">       </w:t>
      </w:r>
      <w:r w:rsidR="00C83771" w:rsidRPr="00C83771">
        <w:rPr>
          <w:rStyle w:val="Gl"/>
          <w:rFonts w:eastAsiaTheme="majorEastAsia"/>
          <w:b w:val="0"/>
          <w:bCs w:val="0"/>
        </w:rPr>
        <w:t>Kârimî tüccarlar</w:t>
      </w:r>
      <w:r w:rsidR="00C83771" w:rsidRPr="00C83771">
        <w:rPr>
          <w:b/>
          <w:bCs/>
        </w:rPr>
        <w:t xml:space="preserve">, </w:t>
      </w:r>
      <w:r w:rsidR="00C83771" w:rsidRPr="00C83771">
        <w:rPr>
          <w:rStyle w:val="Gl"/>
          <w:rFonts w:eastAsiaTheme="majorEastAsia"/>
          <w:b w:val="0"/>
          <w:bCs w:val="0"/>
        </w:rPr>
        <w:t>XIV. yüzyılın sonuna kadar</w:t>
      </w:r>
      <w:r w:rsidR="00C83771" w:rsidRPr="00C83771">
        <w:rPr>
          <w:b/>
          <w:bCs/>
        </w:rPr>
        <w:t xml:space="preserve"> ticaretlerini </w:t>
      </w:r>
      <w:r w:rsidR="00C83771" w:rsidRPr="00C83771">
        <w:rPr>
          <w:rStyle w:val="Gl"/>
          <w:rFonts w:eastAsiaTheme="majorEastAsia"/>
          <w:b w:val="0"/>
          <w:bCs w:val="0"/>
        </w:rPr>
        <w:t>iki ana güzergâh</w:t>
      </w:r>
      <w:r w:rsidR="00C83771">
        <w:t xml:space="preserve"> üzerinden yürütmüşlerdir.</w:t>
      </w:r>
      <w:r w:rsidR="00C83771">
        <w:rPr>
          <w:rStyle w:val="DipnotBavurusu"/>
        </w:rPr>
        <w:footnoteReference w:id="11"/>
      </w:r>
      <w:r w:rsidR="00C83771" w:rsidRPr="00C83771">
        <w:t xml:space="preserve"> </w:t>
      </w:r>
      <w:r w:rsidR="00C83771">
        <w:t xml:space="preserve">Uzak Doğu’dan Kızıldeniz’e uzanan deniz iki ana kolu üzerinde </w:t>
      </w:r>
      <w:r w:rsidR="00C83771">
        <w:rPr>
          <w:rStyle w:val="DipnotBavurusu"/>
        </w:rPr>
        <w:footnoteReference w:id="12"/>
      </w:r>
    </w:p>
    <w:p w14:paraId="51E605FB" w14:textId="72747656" w:rsidR="000874EB" w:rsidRDefault="000874EB" w:rsidP="00D0287E">
      <w:pPr>
        <w:pStyle w:val="NormalWeb"/>
        <w:spacing w:line="360" w:lineRule="auto"/>
        <w:jc w:val="both"/>
      </w:pPr>
      <w:r>
        <w:t>Birinci kol, Kızıldeniz’den sonra kuzeye yönelerek Sina üzerinden Şam’a, oradan da Akdeniz limanlarına ulaşırdı. İkinci kol ise çöl yoluyla Nil Nehri’ne, ardından Kahire’ye, oradan da Nil üzerinden İskenderiye’ye ve Avrupa’ya giderdi. Ancak bu yol, Çin’den Hindistan’a kadar olan deniz yolunun çok uzun olması nedeniyle yılın bazı dönemlerinde önemli zorluklar içeriyordu.</w:t>
      </w:r>
      <w:r w:rsidR="00D0287E" w:rsidRPr="00D0287E">
        <w:t xml:space="preserve"> </w:t>
      </w:r>
      <w:r w:rsidR="00D0287E">
        <w:t xml:space="preserve">Aden, Kızıldeniz’in güney giriş kapısı olarak, Çinli, Hintli ve Avrupalı tüccarların mallarını değiştirdikleri en büyük ticaret merkezlerinden biriydi. Uzun bir süre boyunca Avrupalı tüccarların Kızıldeniz’e girmeleri yasaktı. Bu nedenle onların malları Memlük gemileriyle Cidde’ye, oradan </w:t>
      </w:r>
      <w:r w:rsidR="00D0287E">
        <w:lastRenderedPageBreak/>
        <w:t>Külzüm, Süveyş ve Tur limanlarına taşınırdı. Böylece Doğu’nun malları Mısır üzerinden Avrupa’ya, Avrupa malları ise Hindistan ve Çin’e ulaştırılırdı.</w:t>
      </w:r>
      <w:r w:rsidR="00D0287E">
        <w:rPr>
          <w:rStyle w:val="DipnotBavurusu"/>
        </w:rPr>
        <w:footnoteReference w:id="13"/>
      </w:r>
    </w:p>
    <w:p w14:paraId="631D74F8" w14:textId="77B40979" w:rsidR="00E15105" w:rsidRDefault="007E28A6" w:rsidP="007E28A6">
      <w:pPr>
        <w:pStyle w:val="NormalWeb"/>
        <w:spacing w:line="360" w:lineRule="auto"/>
        <w:jc w:val="both"/>
      </w:pPr>
      <w:r>
        <w:t xml:space="preserve">         </w:t>
      </w:r>
      <w:r w:rsidR="00E15105">
        <w:t>Kârimîlerin Kahire’deki ana merkezlerinin yanında İskenderiye, Dimyat, Kus, Ayzab, Mekke, Cidde ve Aden gibi şehirlerde; ayrıca Suriye, Hindistan ve Çin’de de ticaret merkezleri vardı. Kârimî tüccarlar, Doğu’dan getirdikleri malları dört ana kıyı limanı üzerinden önce Fustat’a, daha sonra Kahire’ye ulaştırıyor ve burada “Fondok el-Karim” adı verilen ticaret merkezlerinde satıyorlardı.</w:t>
      </w:r>
      <w:r w:rsidR="00D0287E">
        <w:rPr>
          <w:rStyle w:val="DipnotBavurusu"/>
        </w:rPr>
        <w:footnoteReference w:id="14"/>
      </w:r>
      <w:r w:rsidR="00C845C7" w:rsidRPr="00C845C7">
        <w:t xml:space="preserve"> </w:t>
      </w:r>
      <w:r w:rsidR="00C845C7">
        <w:t>Memlükler döneminde Mısır’da Kârim tüccarlarına ait bir ticaret hanının (funduğun) bulunduğu belirtilmektedir. Bu funduğun surları içinde birkaç cami inşa edilmiştir. Burada, özellikle İtalyan cumhuriyetlerinden gelen tüccarlara — Venedik, Cenova, Pisa ve Marsilya — baharat satışı yapılmaktaydı.</w:t>
      </w:r>
      <w:r w:rsidR="00C845C7">
        <w:rPr>
          <w:rStyle w:val="DipnotBavurusu"/>
        </w:rPr>
        <w:footnoteReference w:id="15"/>
      </w:r>
      <w:r w:rsidRPr="007E28A6">
        <w:t xml:space="preserve"> </w:t>
      </w:r>
      <w:r>
        <w:t>Bu limanların en önemlisi Ayzab idi. Mallar buradan Kus’a, ardından Nil Nehri yoluyla Fustat’a taşınıyordu. Ayzab’ın kuzeyindeki Kusayr Limanı da kullanılıyordu, ancak Ayzab kadar yoğun değildi. Tur sahili zaman zaman kullanılmış, fakat yolculuğun tehlikeli olması nedeniyle yalnızca gündüzleri tercih edilmiştir. Süveyş Limanı ise Kahire’ye yakın olmasına rağmen fazla kullanılmamış, onun yerine çoğunlukla Tur Limanı tercih edilmiştir.</w:t>
      </w:r>
      <w:r>
        <w:rPr>
          <w:rStyle w:val="DipnotBavurusu"/>
        </w:rPr>
        <w:footnoteReference w:id="16"/>
      </w:r>
      <w:r w:rsidRPr="007E28A6">
        <w:t xml:space="preserve"> </w:t>
      </w:r>
      <w:r>
        <w:t>Kârimî tüccarlar ticaret yolları üzerinde kervansaraylar ve ticaret merkezleri (vekâleler) inşa etmişlerdir. Kus, Ayzab, Kahire, İskenderiye ve Dimyat gibi şehirler bu ticari yapılarla doluydu. Özellikle İskenderiye’de, farklı ülke tüccarlarına ait çok sayıda ticaret hanı bulunmaktaydı. Bu merkezlerin bir kısmı vakıf olarak inşa edilmiş, içlerinde mescitler yer almış ve genellikle kurucularının adlarıyla anılmıştır.</w:t>
      </w:r>
      <w:r>
        <w:rPr>
          <w:rStyle w:val="DipnotBavurusu"/>
        </w:rPr>
        <w:footnoteReference w:id="17"/>
      </w:r>
    </w:p>
    <w:p w14:paraId="257D9413" w14:textId="442DE6F6" w:rsidR="00A46F15" w:rsidRPr="004831A3" w:rsidRDefault="004C102C" w:rsidP="00A46F15">
      <w:pPr>
        <w:pStyle w:val="NormalWeb"/>
        <w:rPr>
          <w:b/>
          <w:bCs/>
        </w:rPr>
      </w:pPr>
      <w:r>
        <w:rPr>
          <w:b/>
          <w:bCs/>
        </w:rPr>
        <w:t xml:space="preserve">         </w:t>
      </w:r>
      <w:r w:rsidR="00A46F15">
        <w:rPr>
          <w:b/>
          <w:bCs/>
        </w:rPr>
        <w:t>3.</w:t>
      </w:r>
      <w:r>
        <w:rPr>
          <w:b/>
          <w:bCs/>
        </w:rPr>
        <w:t xml:space="preserve">2 </w:t>
      </w:r>
      <w:r w:rsidR="00A46F15" w:rsidRPr="00A46F15">
        <w:rPr>
          <w:b/>
          <w:bCs/>
        </w:rPr>
        <w:t>Ticari Mallar ve Ürün Çeşitliliği</w:t>
      </w:r>
    </w:p>
    <w:p w14:paraId="619FEB68" w14:textId="7B6AD193" w:rsidR="007B5FD6" w:rsidRDefault="007B5FD6" w:rsidP="007B5FD6">
      <w:pPr>
        <w:pStyle w:val="NormalWeb"/>
        <w:spacing w:line="360" w:lineRule="auto"/>
        <w:jc w:val="both"/>
      </w:pPr>
      <w:r>
        <w:t xml:space="preserve">          Kârim tüccarlarının ticaretini yaptıkları mallar arasında, başta Hindistan ve Uzak Doğu ülkelerinden gelen baharat ve çeşitli baharat türleri yer alıyordu. Bunlardan biri de kakule (hel) idi. Kakule, Sîrâfî’nin aktardığına göre, Kârim tüccarları özellikle altın ve gümüş, zebercet taşından yüzükler, kılıçlar, cam ve kristal, ilaçlar, yün, kürk, ipek ve keten kumaşlar ile soylu cins atların ticaretini yapmayı tercih ediyorlardı. Ayrıca bazı Kârim tüccarları değerli taşlar, akik, misk, afyon, </w:t>
      </w:r>
      <w:r>
        <w:lastRenderedPageBreak/>
        <w:t>boyalar, ipek ve kaşmir ticaretini de ön planda tutuyor, bu ürünleri Hindistan ve Çin’den getiriyorlardı.</w:t>
      </w:r>
      <w:r w:rsidRPr="007B5FD6">
        <w:t xml:space="preserve"> </w:t>
      </w:r>
      <w:r>
        <w:t>Çin porseleni, şeker, ipek, altın, gümüş, mücevherler, yakut, karanfil, Cava öd ağacı, taze öd, hoş kokulu baharatlar, günlük ve kafur getirirler.</w:t>
      </w:r>
      <w:r>
        <w:rPr>
          <w:rStyle w:val="DipnotBavurusu"/>
        </w:rPr>
        <w:footnoteReference w:id="18"/>
      </w:r>
      <w:r>
        <w:t>”</w:t>
      </w:r>
      <w:r w:rsidRPr="007B5FD6">
        <w:t xml:space="preserve"> </w:t>
      </w:r>
      <w:r>
        <w:t>Hindistan’dan taşınan Kârim ticaretinin ise daha çok değerli taşlar, inci, baharatlar, güzel kokular, ipek, porselen, fildişi, kumaşlar, içkiler, tıbbi ilaçlar ve çeşitli</w:t>
      </w:r>
      <w:r w:rsidRPr="007B5FD6">
        <w:t xml:space="preserve"> </w:t>
      </w:r>
      <w:r>
        <w:t>hindistancevizi ağacının kerestesi, atlar, tıbbi otlar ve bambu da ticareti yapılan ürünler arasındaydı. Bunun yanında muskat cevizi, ravent, miskli man, tutya, buhur, nadir öd ağacı, demir, bakır, balsam, şap, mazı, ipek böceği, balmumu, kürk, tuz ve safran da Kârim ticaretinde önemli yer tutan mallar arasındaydı.</w:t>
      </w:r>
      <w:r>
        <w:rPr>
          <w:rStyle w:val="DipnotBavurusu"/>
        </w:rPr>
        <w:footnoteReference w:id="19"/>
      </w:r>
    </w:p>
    <w:p w14:paraId="1E05E85D" w14:textId="3CF1FFE1" w:rsidR="008D5E31" w:rsidRPr="008D5E31" w:rsidRDefault="008D5E31" w:rsidP="008D5E31">
      <w:pPr>
        <w:pStyle w:val="NormalWeb"/>
        <w:rPr>
          <w:b/>
          <w:bCs/>
          <w:sz w:val="28"/>
          <w:szCs w:val="28"/>
        </w:rPr>
      </w:pPr>
      <w:r w:rsidRPr="008D5E31">
        <w:rPr>
          <w:b/>
          <w:bCs/>
          <w:sz w:val="28"/>
          <w:szCs w:val="28"/>
        </w:rPr>
        <w:t xml:space="preserve"> </w:t>
      </w:r>
      <w:r>
        <w:rPr>
          <w:b/>
          <w:bCs/>
          <w:sz w:val="28"/>
          <w:szCs w:val="28"/>
        </w:rPr>
        <w:t xml:space="preserve">   </w:t>
      </w:r>
      <w:r w:rsidR="00DE24EC">
        <w:rPr>
          <w:b/>
          <w:bCs/>
          <w:sz w:val="28"/>
          <w:szCs w:val="28"/>
        </w:rPr>
        <w:t>4)</w:t>
      </w:r>
      <w:r>
        <w:rPr>
          <w:b/>
          <w:bCs/>
          <w:sz w:val="28"/>
          <w:szCs w:val="28"/>
        </w:rPr>
        <w:t xml:space="preserve">  </w:t>
      </w:r>
      <w:r w:rsidRPr="008D5E31">
        <w:rPr>
          <w:b/>
          <w:bCs/>
          <w:sz w:val="28"/>
          <w:szCs w:val="28"/>
        </w:rPr>
        <w:t>Kârimî Tüccarlar Ve Devlet İlişkileri</w:t>
      </w:r>
    </w:p>
    <w:p w14:paraId="7A43C1C0" w14:textId="265AAB53" w:rsidR="00C845C7" w:rsidRDefault="00DE24EC" w:rsidP="00DE24EC">
      <w:pPr>
        <w:pStyle w:val="NormalWeb"/>
        <w:rPr>
          <w:b/>
          <w:bCs/>
        </w:rPr>
      </w:pPr>
      <w:r>
        <w:rPr>
          <w:b/>
          <w:bCs/>
        </w:rPr>
        <w:t xml:space="preserve">  </w:t>
      </w:r>
      <w:r w:rsidR="004C102C">
        <w:rPr>
          <w:b/>
          <w:bCs/>
        </w:rPr>
        <w:t xml:space="preserve">     </w:t>
      </w:r>
      <w:r>
        <w:rPr>
          <w:b/>
          <w:bCs/>
        </w:rPr>
        <w:t xml:space="preserve"> </w:t>
      </w:r>
      <w:r w:rsidRPr="00DE24EC">
        <w:rPr>
          <w:b/>
          <w:bCs/>
        </w:rPr>
        <w:t xml:space="preserve">4.1 </w:t>
      </w:r>
      <w:r w:rsidR="009A78B2" w:rsidRPr="00DE24EC">
        <w:rPr>
          <w:b/>
          <w:bCs/>
        </w:rPr>
        <w:t>Selahaddin Eyyûbî ile ilişkiler</w:t>
      </w:r>
    </w:p>
    <w:p w14:paraId="79282959" w14:textId="30C54956" w:rsidR="00402D44" w:rsidRPr="00402D44" w:rsidRDefault="00DE24EC" w:rsidP="00CE1987">
      <w:pPr>
        <w:pStyle w:val="NormalWeb"/>
        <w:spacing w:line="360" w:lineRule="auto"/>
        <w:jc w:val="both"/>
      </w:pPr>
      <w:r>
        <w:t xml:space="preserve">      </w:t>
      </w:r>
      <w:r w:rsidR="00402D44">
        <w:t>Selahaddin Eyyûbî ve ailesi, Kârimîlerin tarihinde önemli bir rol oynamıştır. Eyyûbî Devleti’nin, özellikle Selahaddin’in izlediği siyaset, Kârimî tüccarlarının ticari geleceğini belirlemiştir. Bu politika sayesinde Kârimîler, Kızıldeniz, Mısır ve Akdeniz limanları üzerinden Doğu ile Batı arasındaki büyük ticari faaliyetleri yürütme imkânı bulmuş, Eyyûbî Devleti ile aralarında güvene ve iş birliğine dayalı güçlü bir ilişki kurulmuştur.</w:t>
      </w:r>
      <w:r w:rsidR="00402D44">
        <w:rPr>
          <w:rStyle w:val="DipnotBavurusu"/>
        </w:rPr>
        <w:footnoteReference w:id="20"/>
      </w:r>
    </w:p>
    <w:p w14:paraId="14C73CF6" w14:textId="4DB82123" w:rsidR="00402D44" w:rsidRDefault="00402D44" w:rsidP="00CE1987">
      <w:pPr>
        <w:pStyle w:val="NormalWeb"/>
        <w:spacing w:line="360" w:lineRule="auto"/>
        <w:jc w:val="both"/>
      </w:pPr>
      <w:r>
        <w:t>Kârimîler, Selahaddin döneminde Haçlı tehdidi nedeniyle en zor sınavlarını yaşamışlardır. Haçlıların Kızıldeniz’e ve ticaret yollarına yönelik saldırıları, özellikle Kerek hâkimi Prens Renaud’nun (577–578 H / 1181–1182 M) girişimleri, Selahaddin’in kararlı müdahalesiyle başarısızlığa uğramıştır. Böylece Kızıldeniz’de İslami ticari nüfuz korunmuş ve Haçlıların bölgedeki etkisi sınırlandırılmıştır.</w:t>
      </w:r>
      <w:r>
        <w:rPr>
          <w:rStyle w:val="DipnotBavurusu"/>
        </w:rPr>
        <w:footnoteReference w:id="21"/>
      </w:r>
    </w:p>
    <w:p w14:paraId="26B34046" w14:textId="328A6E18" w:rsidR="00252DEC" w:rsidRPr="00252DEC" w:rsidRDefault="00402D44" w:rsidP="00CE1987">
      <w:pPr>
        <w:pStyle w:val="NormalWeb"/>
        <w:spacing w:line="360" w:lineRule="auto"/>
        <w:jc w:val="both"/>
      </w:pPr>
      <w:r>
        <w:t>Eyyûbî Devleti, Kârimî tüccarlarını desteklemiş ve ticaretlerini genişletmelerini teşvik etmiştir. Kârimîler de buna karşılık devlete mali destek sağlamışlardır. Nitekim 577 H / 1181 M yılında, Kârimî tüccarları dört yılın zekâtını tek seferde ödemiştir. Bu durum, onların mali güçlerini ve ticari çıkarlarını iyi bildiklerini göstermektedir.</w:t>
      </w:r>
      <w:r w:rsidR="00252DEC">
        <w:rPr>
          <w:rStyle w:val="DipnotBavurusu"/>
        </w:rPr>
        <w:footnoteReference w:id="22"/>
      </w:r>
      <w:r w:rsidR="00252DEC" w:rsidRPr="00252DEC">
        <w:t xml:space="preserve"> </w:t>
      </w:r>
      <w:r w:rsidR="00252DEC">
        <w:t xml:space="preserve">Selahaddin, </w:t>
      </w:r>
      <w:r w:rsidR="00252DEC">
        <w:rPr>
          <w:rStyle w:val="Gl"/>
          <w:rFonts w:eastAsiaTheme="majorEastAsia"/>
        </w:rPr>
        <w:t xml:space="preserve">Kârim tüccarlarından yalnızca </w:t>
      </w:r>
      <w:r w:rsidR="00252DEC">
        <w:rPr>
          <w:rStyle w:val="Gl"/>
          <w:rFonts w:eastAsiaTheme="majorEastAsia"/>
        </w:rPr>
        <w:lastRenderedPageBreak/>
        <w:t>zekât</w:t>
      </w:r>
      <w:r w:rsidR="00252DEC">
        <w:t xml:space="preserve"> almıştır ve bunu da </w:t>
      </w:r>
      <w:r w:rsidR="00252DEC">
        <w:rPr>
          <w:rStyle w:val="Gl"/>
          <w:rFonts w:eastAsiaTheme="majorEastAsia"/>
        </w:rPr>
        <w:t>sadece bir kez</w:t>
      </w:r>
      <w:r w:rsidR="00252DEC">
        <w:t xml:space="preserve"> bu şekilde almıştır. Bu uygulama, o dönemde </w:t>
      </w:r>
      <w:r w:rsidR="00252DEC">
        <w:rPr>
          <w:rStyle w:val="Gl"/>
          <w:rFonts w:eastAsiaTheme="majorEastAsia"/>
        </w:rPr>
        <w:t>Haçlılarla yapılan mücadele için paraya ihtiyaç duyması</w:t>
      </w:r>
      <w:r w:rsidR="00252DEC">
        <w:t xml:space="preserve"> sebebiyledir; nitekim aynı yıl Haçlılar </w:t>
      </w:r>
      <w:r w:rsidR="00252DEC">
        <w:rPr>
          <w:rStyle w:val="Gl"/>
          <w:rFonts w:eastAsiaTheme="majorEastAsia"/>
        </w:rPr>
        <w:t>Ayzab’ı ve Kızıldeniz’i</w:t>
      </w:r>
      <w:r w:rsidR="00252DEC">
        <w:t xml:space="preserve"> hedef almıştır.</w:t>
      </w:r>
      <w:r w:rsidR="00252DEC" w:rsidRPr="00252DEC">
        <w:rPr>
          <w:rStyle w:val="Balk5Char"/>
        </w:rPr>
        <w:t xml:space="preserve"> </w:t>
      </w:r>
      <w:r w:rsidR="00252DEC">
        <w:rPr>
          <w:rStyle w:val="Gl"/>
          <w:rFonts w:eastAsiaTheme="majorEastAsia"/>
        </w:rPr>
        <w:t>Makrîzî</w:t>
      </w:r>
      <w:r w:rsidR="00252DEC">
        <w:t xml:space="preserve"> ve diğer tarihçiler, Selahaddin’in bu talebi </w:t>
      </w:r>
      <w:r w:rsidR="00252DEC">
        <w:rPr>
          <w:rStyle w:val="Gl"/>
          <w:rFonts w:eastAsiaTheme="majorEastAsia"/>
        </w:rPr>
        <w:t>tekrar ettiğini belirtmezler</w:t>
      </w:r>
      <w:r w:rsidR="00252DEC">
        <w:t xml:space="preserve">. Aksine, Selahaddin’in </w:t>
      </w:r>
      <w:r w:rsidR="00252DEC">
        <w:rPr>
          <w:rStyle w:val="Gl"/>
          <w:rFonts w:eastAsiaTheme="majorEastAsia"/>
        </w:rPr>
        <w:t>Ayzab’da Kârim tüccarlarından alınan zekâtı birkaç yıl süreyle kaldırdığı</w:t>
      </w:r>
      <w:r w:rsidR="00252DEC">
        <w:t xml:space="preserve">, onları </w:t>
      </w:r>
      <w:r w:rsidR="00252DEC">
        <w:rPr>
          <w:rStyle w:val="Gl"/>
          <w:rFonts w:eastAsiaTheme="majorEastAsia"/>
        </w:rPr>
        <w:t>Mısır’a gelmeye teşvik etmek</w:t>
      </w:r>
      <w:r w:rsidR="00252DEC">
        <w:t xml:space="preserve"> amacıyla bu kolaylığı sağladığı anlaşılmaktadır.</w:t>
      </w:r>
      <w:r w:rsidR="00252DEC">
        <w:rPr>
          <w:rStyle w:val="DipnotBavurusu"/>
        </w:rPr>
        <w:footnoteReference w:id="23"/>
      </w:r>
    </w:p>
    <w:p w14:paraId="402B71A6" w14:textId="50C4172E" w:rsidR="00252DEC" w:rsidRDefault="00402D44" w:rsidP="00CE1987">
      <w:pPr>
        <w:pStyle w:val="NormalWeb"/>
        <w:spacing w:line="360" w:lineRule="auto"/>
        <w:jc w:val="both"/>
      </w:pPr>
      <w:r>
        <w:t>579 H / 1183 M’de, Selahaddin’in yeğeni Takiyyüddin Ömer, Fustat’ta Nil kıyısında büyük bir Kârimî hanı (funduğu) inşa ettirmiş ve burayı Kârimî tüccarlarına tahsis etmiştir. Böylece Kârimîlerin faaliyeti ilk kez Mısır’ın merkezinde kalıcı hâle gelmiş, ardından Kus ve İskenderiye gibi şehirlerde de yaygınlaşmıştır.</w:t>
      </w:r>
      <w:r>
        <w:rPr>
          <w:rStyle w:val="DipnotBavurusu"/>
        </w:rPr>
        <w:footnoteReference w:id="24"/>
      </w:r>
      <w:r w:rsidR="00252DEC" w:rsidRPr="00252DEC">
        <w:t xml:space="preserve"> </w:t>
      </w:r>
      <w:r w:rsidR="00252DEC">
        <w:t>Bu nedenle Kârimî tüccarının niteliği, Eyyûbî ve Memlük dönemlerinde, Fâtımî dönemindekinden farklılık göstermiştir. Fâtımîler zamanında Kârimî tüccarlarının taşıdığı mal miktarı sınırlıydı. Ancak bu dönemden sonra Kârimî tüccarları, kendi adlarına çalışan askerler ve süvariler tarafından korunan büyük kervanların sahipleri hâline gelmişlerdir.</w:t>
      </w:r>
      <w:r w:rsidR="00252DEC" w:rsidRPr="00252DEC">
        <w:t xml:space="preserve"> </w:t>
      </w:r>
      <w:r w:rsidR="00252DEC">
        <w:t>Doğu ticareti sayesinde bu tüccarlar çok büyük kârlar ve servetler elde etmişlerdir. Öyle ki, bazılarının serveti bir milyon dinara ulaşmış, bazılarınınki ise bunun kat kat üzerine çıkmıştır. Hatta bazı Kârimî tüccarlarının serveti tam olarak hesaplanamaz duruma gelmiştir.</w:t>
      </w:r>
      <w:r w:rsidR="00252DEC">
        <w:rPr>
          <w:rStyle w:val="DipnotBavurusu"/>
        </w:rPr>
        <w:footnoteReference w:id="25"/>
      </w:r>
    </w:p>
    <w:p w14:paraId="600640C0" w14:textId="3A76D485" w:rsidR="00FF55DD" w:rsidRDefault="00FF55DD" w:rsidP="00CE1987">
      <w:pPr>
        <w:pStyle w:val="NormalWeb"/>
        <w:spacing w:line="360" w:lineRule="auto"/>
        <w:jc w:val="both"/>
      </w:pPr>
      <w:r>
        <w:t>Sultan Selahaddin’in vefatından sonra, tarihçiler Kârimîlerin faaliyetlerine dair herhangi bir bilgi kaydetmemiştir. Bu durum, Hicrî VIII. yüzyılın / Miladî XIV. yüzyılın ilk on yıllarına, yani Memlükler dönemine kadar sürmüştür. Bu dönemde Kârimîler hakkında daha fazla bilgiye ulaşılmaktadır.</w:t>
      </w:r>
      <w:r>
        <w:rPr>
          <w:rStyle w:val="DipnotBavurusu"/>
        </w:rPr>
        <w:footnoteReference w:id="26"/>
      </w:r>
      <w:r w:rsidRPr="00FF55DD">
        <w:t xml:space="preserve"> </w:t>
      </w:r>
      <w:r>
        <w:t>Kârimî tüccarlar, Yemen, Suriye ve diğer bölgelerle ticari faaliyetlerini tam bir serbestlik içinde yürütmüşlerdir. Zamanla geniş bir alana yayılmışlar ve Hicrî VIII. ve IX. yüzyıllarda (Miladî XIV–XV. yüzyıllar) en parlak dönemlerine ulaşmışlardır. Bu süreçte, Memlük Sultanlığı’nın ekonomisi ve siyasi hayatı üzerinde açık ve güçlü bir etki bırakmışlardır.</w:t>
      </w:r>
      <w:r>
        <w:rPr>
          <w:rStyle w:val="DipnotBavurusu"/>
        </w:rPr>
        <w:footnoteReference w:id="27"/>
      </w:r>
    </w:p>
    <w:p w14:paraId="1A788CDA" w14:textId="73757BFE" w:rsidR="00CE1987" w:rsidRPr="00004E06" w:rsidRDefault="004C102C" w:rsidP="00CE1987">
      <w:pPr>
        <w:pStyle w:val="NormalWeb"/>
        <w:spacing w:line="360" w:lineRule="auto"/>
        <w:jc w:val="both"/>
        <w:rPr>
          <w:b/>
          <w:bCs/>
        </w:rPr>
      </w:pPr>
      <w:r>
        <w:rPr>
          <w:b/>
          <w:bCs/>
        </w:rPr>
        <w:lastRenderedPageBreak/>
        <w:t xml:space="preserve">      4.2 </w:t>
      </w:r>
      <w:r w:rsidR="00004E06" w:rsidRPr="00004E06">
        <w:rPr>
          <w:b/>
          <w:bCs/>
        </w:rPr>
        <w:t>Devlet</w:t>
      </w:r>
      <w:r>
        <w:rPr>
          <w:b/>
          <w:bCs/>
        </w:rPr>
        <w:t xml:space="preserve"> Başkanları</w:t>
      </w:r>
      <w:r w:rsidR="00004E06" w:rsidRPr="00004E06">
        <w:rPr>
          <w:b/>
          <w:bCs/>
        </w:rPr>
        <w:t xml:space="preserve"> ile ilişkileri ve siyasi katkıları</w:t>
      </w:r>
      <w:r>
        <w:rPr>
          <w:b/>
          <w:bCs/>
        </w:rPr>
        <w:t xml:space="preserve"> </w:t>
      </w:r>
    </w:p>
    <w:p w14:paraId="65D5F23D" w14:textId="45927B2E" w:rsidR="00A143B7" w:rsidRPr="00701EAF" w:rsidRDefault="004C102C" w:rsidP="004C102C">
      <w:pPr>
        <w:pStyle w:val="NormalWeb"/>
        <w:spacing w:line="360" w:lineRule="auto"/>
        <w:jc w:val="both"/>
        <w:rPr>
          <w:b/>
          <w:bCs/>
        </w:rPr>
      </w:pPr>
      <w:r>
        <w:rPr>
          <w:rStyle w:val="Gl"/>
          <w:rFonts w:eastAsiaTheme="majorEastAsia"/>
          <w:b w:val="0"/>
          <w:bCs w:val="0"/>
        </w:rPr>
        <w:t xml:space="preserve">         </w:t>
      </w:r>
      <w:r w:rsidR="00A143B7" w:rsidRPr="00701EAF">
        <w:rPr>
          <w:rStyle w:val="Gl"/>
          <w:rFonts w:eastAsiaTheme="majorEastAsia"/>
          <w:b w:val="0"/>
          <w:bCs w:val="0"/>
        </w:rPr>
        <w:t>Kârimîler</w:t>
      </w:r>
      <w:r w:rsidR="00A143B7" w:rsidRPr="00701EAF">
        <w:rPr>
          <w:b/>
          <w:bCs/>
        </w:rPr>
        <w:t xml:space="preserve">, </w:t>
      </w:r>
      <w:r w:rsidR="00A143B7" w:rsidRPr="00701EAF">
        <w:t xml:space="preserve">Mısır’da </w:t>
      </w:r>
      <w:r w:rsidR="00A143B7" w:rsidRPr="00701EAF">
        <w:rPr>
          <w:b/>
          <w:bCs/>
        </w:rPr>
        <w:t xml:space="preserve">ve </w:t>
      </w:r>
      <w:r w:rsidR="00A143B7" w:rsidRPr="00701EAF">
        <w:rPr>
          <w:rStyle w:val="Gl"/>
          <w:rFonts w:eastAsiaTheme="majorEastAsia"/>
          <w:b w:val="0"/>
          <w:bCs w:val="0"/>
        </w:rPr>
        <w:t>Kızıldeniz’de</w:t>
      </w:r>
      <w:r w:rsidR="00A143B7" w:rsidRPr="00701EAF">
        <w:rPr>
          <w:b/>
          <w:bCs/>
        </w:rPr>
        <w:t xml:space="preserve"> </w:t>
      </w:r>
      <w:r w:rsidR="00A143B7" w:rsidRPr="00701EAF">
        <w:t>güçlü ve gelişen bir konumlarını sürdürmüşlerdir</w:t>
      </w:r>
      <w:r w:rsidR="00A143B7" w:rsidRPr="00701EAF">
        <w:rPr>
          <w:b/>
          <w:bCs/>
        </w:rPr>
        <w:t xml:space="preserve">. </w:t>
      </w:r>
      <w:r w:rsidR="00A143B7" w:rsidRPr="00701EAF">
        <w:t>Siyasi ya da ekonomik ortamda onları tehdit eden veya devlete karşı kışkırtan bir durum</w:t>
      </w:r>
      <w:r w:rsidR="00A143B7" w:rsidRPr="00701EAF">
        <w:rPr>
          <w:b/>
          <w:bCs/>
        </w:rPr>
        <w:t xml:space="preserve"> </w:t>
      </w:r>
      <w:r w:rsidR="00A143B7" w:rsidRPr="00701EAF">
        <w:t>ortaya çıkmamıştır. Aksine devlet</w:t>
      </w:r>
      <w:r w:rsidR="00A143B7" w:rsidRPr="00701EAF">
        <w:rPr>
          <w:b/>
          <w:bCs/>
        </w:rPr>
        <w:t xml:space="preserve">, </w:t>
      </w:r>
      <w:r w:rsidR="00A143B7" w:rsidRPr="00701EAF">
        <w:rPr>
          <w:rStyle w:val="Gl"/>
          <w:rFonts w:eastAsiaTheme="majorEastAsia"/>
          <w:b w:val="0"/>
          <w:bCs w:val="0"/>
        </w:rPr>
        <w:t>çıkarlarını korumuş</w:t>
      </w:r>
      <w:r w:rsidR="00A143B7" w:rsidRPr="00701EAF">
        <w:rPr>
          <w:b/>
          <w:bCs/>
        </w:rPr>
        <w:t xml:space="preserve">, </w:t>
      </w:r>
      <w:r w:rsidR="00A143B7" w:rsidRPr="00701EAF">
        <w:rPr>
          <w:rStyle w:val="Gl"/>
          <w:rFonts w:eastAsiaTheme="majorEastAsia"/>
          <w:b w:val="0"/>
          <w:bCs w:val="0"/>
        </w:rPr>
        <w:t>ekonomik yapılarına zarar vermemiş</w:t>
      </w:r>
      <w:r w:rsidR="00A143B7" w:rsidRPr="00701EAF">
        <w:rPr>
          <w:b/>
          <w:bCs/>
        </w:rPr>
        <w:t xml:space="preserve">, </w:t>
      </w:r>
      <w:r w:rsidR="00A143B7" w:rsidRPr="00701EAF">
        <w:t xml:space="preserve">hatta </w:t>
      </w:r>
      <w:r w:rsidR="00A143B7" w:rsidRPr="00701EAF">
        <w:rPr>
          <w:rStyle w:val="Gl"/>
          <w:rFonts w:eastAsiaTheme="majorEastAsia"/>
          <w:b w:val="0"/>
          <w:bCs w:val="0"/>
        </w:rPr>
        <w:t>onu savunmuş ve desteklemiştir</w:t>
      </w:r>
      <w:r w:rsidR="00A143B7" w:rsidRPr="00701EAF">
        <w:rPr>
          <w:b/>
          <w:bCs/>
        </w:rPr>
        <w:t xml:space="preserve">. </w:t>
      </w:r>
      <w:r w:rsidR="00A143B7" w:rsidRPr="00701EAF">
        <w:t>Bunun en açık göstergelerinden biri,</w:t>
      </w:r>
      <w:r w:rsidR="00A143B7" w:rsidRPr="00701EAF">
        <w:rPr>
          <w:b/>
          <w:bCs/>
        </w:rPr>
        <w:t xml:space="preserve"> </w:t>
      </w:r>
      <w:r w:rsidR="00A143B7" w:rsidRPr="00701EAF">
        <w:rPr>
          <w:rStyle w:val="Gl"/>
          <w:rFonts w:eastAsiaTheme="majorEastAsia"/>
          <w:b w:val="0"/>
          <w:bCs w:val="0"/>
        </w:rPr>
        <w:t>Mısır’da orta sınıf ile feodal kesim arasındaki dengenin bozulduğunu gösteren herhangi bir Kârimî isyanının yaşanmamış olmasıdır</w:t>
      </w:r>
      <w:r w:rsidR="00A143B7" w:rsidRPr="00701EAF">
        <w:rPr>
          <w:b/>
          <w:bCs/>
        </w:rPr>
        <w:t>.</w:t>
      </w:r>
      <w:r w:rsidR="00296841" w:rsidRPr="00701EAF">
        <w:rPr>
          <w:rStyle w:val="DipnotBavurusu"/>
          <w:b/>
          <w:bCs/>
        </w:rPr>
        <w:footnoteReference w:id="28"/>
      </w:r>
    </w:p>
    <w:p w14:paraId="7F60B445" w14:textId="317DA8F3" w:rsidR="00701EAF" w:rsidRPr="00701EAF" w:rsidRDefault="00A143B7" w:rsidP="004C102C">
      <w:pPr>
        <w:pStyle w:val="NormalWeb"/>
        <w:spacing w:line="360" w:lineRule="auto"/>
        <w:jc w:val="both"/>
      </w:pPr>
      <w:r>
        <w:t>.</w:t>
      </w:r>
      <w:r w:rsidR="004C102C">
        <w:t xml:space="preserve">   </w:t>
      </w:r>
      <w:r w:rsidR="00313717" w:rsidRPr="00313717">
        <w:t xml:space="preserve"> </w:t>
      </w:r>
      <w:r w:rsidR="004C102C">
        <w:t xml:space="preserve"> </w:t>
      </w:r>
      <w:r w:rsidR="00313717">
        <w:t>Memlükler döneminde ardışık Mısır yönetimlerinin Kârimîlere karşı tutumu, Mısır’ın ticaret politikasındaki istikrarı ve onların konumlarını korumayı amaçlayan geleneklerin devam ettiğini açıkça göstermektedir. Bu durum, bir yandan devletin Kârimîlerin yerini koruduğunu, diğer yandan da Kârimîlerin Kızıldeniz ve Mısır’daki ekonomik görevlerinde başarılı olduklarını ortaya koymaktadır. Nitekim zamanla sayısal olarak çoğalmışlar ve çok kalabalık bir tüccar grubu hâline gelmişlerdir.</w:t>
      </w:r>
      <w:r w:rsidR="00313717">
        <w:rPr>
          <w:rStyle w:val="DipnotBavurusu"/>
        </w:rPr>
        <w:footnoteReference w:id="29"/>
      </w:r>
      <w:r w:rsidR="00701EAF">
        <w:t xml:space="preserve">  Memlûk sultanları, Kârimî tüccarlarının büyük hizmetlerini takdir etmiş ve onları özel bir himaye altına almıştır. Bu nedenle Kârimîlerin reisi, aynı zamanda “el-Kebîr” diye anılan kişi, sultanlığın bütün topraklarında saygı ve itibarla muamele görmüştür.</w:t>
      </w:r>
      <w:r w:rsidR="00701EAF" w:rsidRPr="00701EAF">
        <w:t xml:space="preserve"> </w:t>
      </w:r>
      <w:r w:rsidR="00701EAF">
        <w:t>Memlûk idaresi ise, hükümete ödedikleri belirli ücretler karşılığında, Kârimî tüccarlarının ticaret kervanlarını korsanlara karşı korumaya özellikle önem vermiştir.</w:t>
      </w:r>
      <w:r w:rsidR="00701EAF">
        <w:rPr>
          <w:rStyle w:val="DipnotBavurusu"/>
        </w:rPr>
        <w:footnoteReference w:id="30"/>
      </w:r>
    </w:p>
    <w:p w14:paraId="43CBD0AE" w14:textId="0209152A" w:rsidR="00E62DA7" w:rsidRPr="00E62DA7" w:rsidRDefault="00701EAF" w:rsidP="004C102C">
      <w:pPr>
        <w:pStyle w:val="NormalWeb"/>
        <w:spacing w:line="360" w:lineRule="auto"/>
        <w:jc w:val="both"/>
      </w:pPr>
      <w:r>
        <w:t xml:space="preserve"> </w:t>
      </w:r>
      <w:r w:rsidR="004C102C">
        <w:t xml:space="preserve">         </w:t>
      </w:r>
      <w:r w:rsidR="00E62DA7">
        <w:t xml:space="preserve"> Kârimîler, Memlük yönetimi altında, ticari konumları kadar siyasi ve sosyal açıdan da çok önemli ve etkili bir konuma ulaştılar. Bunun etkisi özellikle Mısır’daki para ve kredi tarihine açıkça yansımıştır.</w:t>
      </w:r>
      <w:r w:rsidR="00E62DA7" w:rsidRPr="00E62DA7">
        <w:t xml:space="preserve"> </w:t>
      </w:r>
      <w:r w:rsidR="00E62DA7">
        <w:t>Kârimî tüccarlar, faaliyet gösterdikleri tüm bölgelerde Mısır para hareketlerinde önemli bir rol oynamışlardır. Ayrıca devletin savaşlar, iç projeler ve diğer ihtiyaçlar için gerekli olan durumlarda devlete borç para vermişlerdir. Tarih boyunca, devletin ihtiyaç duyduğu anlarda Kârimîlerin devleti finanse ettiklerine dair pek çok örnek bulunmaktadır.</w:t>
      </w:r>
      <w:r w:rsidR="00E62DA7">
        <w:rPr>
          <w:rStyle w:val="DipnotBavurusu"/>
        </w:rPr>
        <w:footnoteReference w:id="31"/>
      </w:r>
    </w:p>
    <w:p w14:paraId="22369610" w14:textId="2211DB1B" w:rsidR="00E62DA7" w:rsidRDefault="004C102C" w:rsidP="004C102C">
      <w:pPr>
        <w:pStyle w:val="NormalWeb"/>
        <w:spacing w:line="360" w:lineRule="auto"/>
        <w:jc w:val="both"/>
      </w:pPr>
      <w:r>
        <w:lastRenderedPageBreak/>
        <w:t xml:space="preserve">         </w:t>
      </w:r>
      <w:r w:rsidR="00E62DA7">
        <w:t>XIV. yüzyılın sonu ile XV. yüzyılın başında, Kârimîlerin ekonomik gücü zirveye ulaşmıştır. Bu dönemde devlet ile Kârimîler arasındaki en büyük mali borç anlaşması yapılmıştır. 796 H / 1396 M yılında, Kârimî sınıfından Burhâneddin İbrahim el-Mahallî, Şihâbeddin Ahmed b. Muhammed b. Müslim ve Nureddin Ali b. el-Hurûc, Sultan Berkuk’a bin gümüş dirhem borç vermiştir. Bu durum, Kârimîlerin mali ve sosyal konumlarının, zaman zaman sultanın konumunu bile gölgede bırakacak düzeye ulaştığını göstermektedir.</w:t>
      </w:r>
      <w:r w:rsidR="009338FB" w:rsidRPr="009338FB">
        <w:t xml:space="preserve"> </w:t>
      </w:r>
      <w:r w:rsidR="009338FB">
        <w:t>Bu borç, Mısır’ın Timur (Timurlenk) tehlikesine karşı hazırlık yaptığı, aynı zamanda kötü ve sahte paraların piyasayı doldurduğu, gümüş dirhemlerin ortadan kaybolduğu ve Mısır’ın Frank paralarına bağımlı hâle geldiği bir dönemde verilmiştir. Dolayısıyla bu borç, yalnızca askerî hazırlıkları değil, ticari işlemlerin devamını ve ekonomik istikrarı da sağlamıştır. Bu yönüyle Kârimîler, devletin korunmasına ve ayakta kalmasına büyük katkı sağlamışlardır.</w:t>
      </w:r>
      <w:r w:rsidR="002551EB">
        <w:rPr>
          <w:rStyle w:val="DipnotBavurusu"/>
        </w:rPr>
        <w:footnoteReference w:id="32"/>
      </w:r>
      <w:r w:rsidR="002551EB" w:rsidRPr="002551EB">
        <w:t xml:space="preserve"> </w:t>
      </w:r>
      <w:r w:rsidR="002551EB">
        <w:t xml:space="preserve">Kârimîleri devletle birbirine bağlayan </w:t>
      </w:r>
      <w:r w:rsidR="002551EB">
        <w:rPr>
          <w:rStyle w:val="Gl"/>
          <w:rFonts w:eastAsiaTheme="majorEastAsia"/>
        </w:rPr>
        <w:t>tüm bu çıkar ilişkileri</w:t>
      </w:r>
      <w:r w:rsidR="002551EB">
        <w:t xml:space="preserve"> sebebiyle, hükümet </w:t>
      </w:r>
      <w:r w:rsidR="002551EB">
        <w:rPr>
          <w:rStyle w:val="Gl"/>
          <w:rFonts w:eastAsiaTheme="majorEastAsia"/>
        </w:rPr>
        <w:t>idari teşkilatının temel yapısı içinde</w:t>
      </w:r>
      <w:r w:rsidR="002551EB">
        <w:t xml:space="preserve"> onların işlerine </w:t>
      </w:r>
      <w:r w:rsidR="002551EB">
        <w:rPr>
          <w:rStyle w:val="Gl"/>
          <w:rFonts w:eastAsiaTheme="majorEastAsia"/>
        </w:rPr>
        <w:t>özel bir önem</w:t>
      </w:r>
      <w:r w:rsidR="002551EB">
        <w:t xml:space="preserve"> vermiştir. Bu amaçla, </w:t>
      </w:r>
      <w:r w:rsidR="002551EB">
        <w:rPr>
          <w:rStyle w:val="Gl"/>
          <w:rFonts w:eastAsiaTheme="majorEastAsia"/>
        </w:rPr>
        <w:t>Kızıldeniz ile Mısır arasındaki ticaretin ve Kârimîlerin menfaatlerini gözetmek üzere</w:t>
      </w:r>
      <w:r w:rsidR="002551EB">
        <w:t xml:space="preserve"> özel bir görev ihdas edilmiştir. Bu görev, </w:t>
      </w:r>
      <w:r w:rsidR="002551EB">
        <w:rPr>
          <w:rStyle w:val="Gl"/>
          <w:rFonts w:eastAsiaTheme="majorEastAsia"/>
        </w:rPr>
        <w:t>“Nâzırü’l-Bihâr ve’l-Kârimî”</w:t>
      </w:r>
      <w:r w:rsidR="002551EB">
        <w:t xml:space="preserve"> olarak adlandırılmıştır.</w:t>
      </w:r>
      <w:r w:rsidR="002551EB" w:rsidRPr="002551EB">
        <w:t xml:space="preserve"> </w:t>
      </w:r>
      <w:r w:rsidR="002551EB">
        <w:t xml:space="preserve">Kalakaşendî’ye göre bu görev, </w:t>
      </w:r>
      <w:r w:rsidR="002551EB">
        <w:rPr>
          <w:rStyle w:val="Gl"/>
          <w:rFonts w:eastAsiaTheme="majorEastAsia"/>
        </w:rPr>
        <w:t>bazen vezirliğe bağlanarak ona tâbi kılınır</w:t>
      </w:r>
      <w:r w:rsidR="002551EB">
        <w:t xml:space="preserve">, </w:t>
      </w:r>
      <w:r w:rsidR="002551EB">
        <w:rPr>
          <w:rStyle w:val="Gl"/>
          <w:rFonts w:eastAsiaTheme="majorEastAsia"/>
        </w:rPr>
        <w:t>bazen “Hâs Nezareti”ne (Nazarü’l-Hâs)</w:t>
      </w:r>
      <w:r w:rsidR="002551EB">
        <w:t xml:space="preserve"> bağlanır, </w:t>
      </w:r>
      <w:r w:rsidR="002551EB">
        <w:rPr>
          <w:rStyle w:val="Gl"/>
          <w:rFonts w:eastAsiaTheme="majorEastAsia"/>
        </w:rPr>
        <w:t>bazen de sultanın uygun gördüğü şekilde her ikisinden bağımsız</w:t>
      </w:r>
      <w:r w:rsidR="002551EB">
        <w:t xml:space="preserve"> olarak yürütülürdü.</w:t>
      </w:r>
      <w:r w:rsidR="00D0695D">
        <w:rPr>
          <w:rStyle w:val="DipnotBavurusu"/>
        </w:rPr>
        <w:footnoteReference w:id="33"/>
      </w:r>
    </w:p>
    <w:p w14:paraId="751B782C" w14:textId="6B1E37C7" w:rsidR="009338FB" w:rsidRDefault="004C102C" w:rsidP="004C102C">
      <w:pPr>
        <w:pStyle w:val="NormalWeb"/>
        <w:spacing w:line="360" w:lineRule="auto"/>
        <w:jc w:val="both"/>
      </w:pPr>
      <w:r>
        <w:t xml:space="preserve">        </w:t>
      </w:r>
      <w:r w:rsidR="00E62DA7">
        <w:t>Kârimîlerin büyük mali hizmetleri ve geniş ticari faaliyetleri, Orta Çağ Mısır’ında bilinen en büyük kredi kurumlarının ortaya çıkmasına yol açmıştır. Bu nedenle Sultan Berkuk, bu üç Kârimî tüccarı yüksek hil‘atlerle (onur kaftanlarıyla) ödüllendirmiştir.</w:t>
      </w:r>
      <w:r w:rsidR="009338FB" w:rsidRPr="009338FB">
        <w:t xml:space="preserve"> </w:t>
      </w:r>
      <w:r w:rsidR="009338FB">
        <w:t>Kârimîlerden yalnızca Mısır sultanı değil, Yemen hükümdarı da mali sıkıntıya düştüğünde borç almıştır. Bu durum, Kârimîlerin Yemen’de de ne kadar güçlü bir ticari ve mali konuma sahip olduklarını göstermektedir. Ayrıca Tekrur (Batı Afrika) bölgelerinde de pazarları ve geniş mali faaliyetleri vardı. Kaynaklara göre, Tekrur Sultanı Mansa Musa ve bazı emirleri, 724 H / 1323 M yılında hac yolculuğu sırasında, İskenderiyeli zengin Kârimî tüccar Sirâceddin b. el-Kuveyk’ten borç almıştır. Kârimî tüccar, parasını tahsil etmek için temsilcisini göndermiş, kendisi de ticaret için Tekrur’a gitmiş; Timbuktu’da vefat edince, alacağını bu yolculukta yanında bulunan oğlu tahsil etmiştir.</w:t>
      </w:r>
      <w:r w:rsidR="009338FB" w:rsidRPr="009338FB">
        <w:t xml:space="preserve"> </w:t>
      </w:r>
      <w:r w:rsidR="009338FB">
        <w:t xml:space="preserve">Aynı şekilde Mısır’daki önde gelen Memlük emirleri de Kârimîlerden borç almıştır. Bunun yanı sıra, </w:t>
      </w:r>
      <w:r w:rsidR="009338FB">
        <w:lastRenderedPageBreak/>
        <w:t>bazı Kârimîler asker, para ve silah desteği sağlayarak, İslam topraklarının ve özellikle Mısır’ın dış saldırılara karşı savunulmasında da önemli bir rol üstlenmişlerdir.</w:t>
      </w:r>
    </w:p>
    <w:p w14:paraId="3517B6AB" w14:textId="7DBFDD19" w:rsidR="00874663" w:rsidRPr="004C102C" w:rsidRDefault="004C102C" w:rsidP="004C102C">
      <w:pPr>
        <w:pStyle w:val="NormalWeb"/>
        <w:spacing w:line="360" w:lineRule="auto"/>
        <w:jc w:val="both"/>
      </w:pPr>
      <w:r>
        <w:t xml:space="preserve">  </w:t>
      </w:r>
      <w:r w:rsidR="00874663">
        <w:t>Abbâsî Hilafeti’nin başkenti Bağdat’ta, her türlü değerli malın getirildiği bu büyük şehirde, bazı kaynaklar halifelerin, özellikle el-Müsterşid Billâh ve el-Muktefî li-Emrillâh dönemlerinde (530–555 H / 1136–1160 M), Kârimî tüccarlarının mali gücünden yararlandıklarını belirtmektedir. Bu tüccarlardan hendeklerin kazılması, surların inşası ve felaketlerle mücadele gibi işlerde destek alınmıştır.</w:t>
      </w:r>
      <w:r w:rsidR="00874663" w:rsidRPr="00874663">
        <w:t xml:space="preserve"> </w:t>
      </w:r>
      <w:r w:rsidR="00874663">
        <w:t>Iraklı Kârimî tüccarlarının büyük servetlerine işaret eden bir örnek olarak, Basralı bir tüccarın, Hindistan ve Çin ile ticaret yapan gemileri için her yıl 100 bin dinar vergi ödediği aktarılmaktadır.</w:t>
      </w:r>
      <w:r w:rsidR="00874663" w:rsidRPr="00874663">
        <w:t xml:space="preserve"> </w:t>
      </w:r>
      <w:r w:rsidR="00874663">
        <w:t>Irak ile Mısır arasındaki yoğun ticari ilişkiler de inkâr edilemez düzeye ulaşmıştır. Hatta zamanla Irak’tan Mısır’a gelen baharat ticaretini yöneten tüccar grubuna “Kârim” adı verilmiştir.</w:t>
      </w:r>
      <w:r w:rsidR="00874663">
        <w:rPr>
          <w:rStyle w:val="DipnotBavurusu"/>
        </w:rPr>
        <w:footnoteReference w:id="34"/>
      </w:r>
      <w:r w:rsidRPr="004C102C">
        <w:t xml:space="preserve"> </w:t>
      </w:r>
      <w:r>
        <w:t>Gerçekte Kızıldeniz, Orta Çağlar boyunca süren uzun tarihi içinde, ticari bakımdan, Kârimî tüccarlarının faaliyetleri sayesinde ulaştığı düzeye başka hiçbir dönemde ulaşamamıştır.</w:t>
      </w:r>
      <w:r>
        <w:rPr>
          <w:rStyle w:val="DipnotBavurusu"/>
        </w:rPr>
        <w:footnoteReference w:id="35"/>
      </w:r>
    </w:p>
    <w:p w14:paraId="1225FF2C" w14:textId="56CAC339" w:rsidR="000C2643" w:rsidRPr="000E407E" w:rsidRDefault="000E407E" w:rsidP="000E407E">
      <w:pPr>
        <w:pStyle w:val="NormalWeb"/>
        <w:rPr>
          <w:b/>
          <w:bCs/>
          <w:sz w:val="28"/>
          <w:szCs w:val="28"/>
        </w:rPr>
      </w:pPr>
      <w:r>
        <w:rPr>
          <w:b/>
          <w:bCs/>
          <w:sz w:val="28"/>
          <w:szCs w:val="28"/>
        </w:rPr>
        <w:t xml:space="preserve">  </w:t>
      </w:r>
      <w:r w:rsidRPr="000E407E">
        <w:rPr>
          <w:b/>
          <w:bCs/>
          <w:sz w:val="28"/>
          <w:szCs w:val="28"/>
        </w:rPr>
        <w:t>5) Kârimî Tüccarların Sosyal, İlmî Ve Dinî Faaliyetleri</w:t>
      </w:r>
    </w:p>
    <w:p w14:paraId="4C7E0C16" w14:textId="52A386A9" w:rsidR="00DB090C" w:rsidRDefault="000E407E" w:rsidP="000E407E">
      <w:pPr>
        <w:pStyle w:val="NormalWeb"/>
        <w:spacing w:line="360" w:lineRule="auto"/>
        <w:jc w:val="both"/>
      </w:pPr>
      <w:r>
        <w:t xml:space="preserve">         </w:t>
      </w:r>
      <w:r w:rsidR="00DB090C">
        <w:t>Kârimî tüccarı, Müslüman bir tüccardır; ticari ve mali faaliyetleriyle İslam’a ve insanlığa hizmet eder. Malından İslam kültürü için harcama yapar, İslam ilimlerinden ve kültüründen beslenir ve gücü yettiğince bunları dünyanın dört bir yanına yayar. Bu Kârimîlerin ilim ve İslam kültürü yolundaki çabaları, kayda değer ve dikkate değerdir.</w:t>
      </w:r>
      <w:r w:rsidR="00DB090C" w:rsidRPr="00DB090C">
        <w:t xml:space="preserve"> </w:t>
      </w:r>
      <w:r w:rsidR="00DB090C">
        <w:t xml:space="preserve">Ünlü Kârimî tüccar </w:t>
      </w:r>
      <w:r w:rsidR="00DB090C" w:rsidRPr="00F300B8">
        <w:rPr>
          <w:b/>
          <w:bCs/>
        </w:rPr>
        <w:t xml:space="preserve">Abdülaziz b. Mansur el-Kerîmî </w:t>
      </w:r>
      <w:r w:rsidR="00DB090C">
        <w:t>(İskenderiye’de 713 H / 1313 M yılında vefat etmiştir), hayır ve iyilikleriyle tanınan, harcamaları geniş olan bir kişiydi. Zekâtını düzenli olarak verir, uzak beldelerden gelenlere yardım ederdi. Ayrıca sıbyan mektepleri ve ilim faaliyetleri için kurulmuş birçok vakfı vardı.</w:t>
      </w:r>
      <w:r w:rsidR="00DB090C" w:rsidRPr="00DB090C">
        <w:t xml:space="preserve"> </w:t>
      </w:r>
      <w:r w:rsidR="00DB090C">
        <w:t xml:space="preserve">Kârimîlerin ileri gelenlerinden </w:t>
      </w:r>
      <w:r w:rsidR="00DB090C" w:rsidRPr="00C17CE3">
        <w:rPr>
          <w:b/>
          <w:bCs/>
        </w:rPr>
        <w:t xml:space="preserve">Abdüllatif b. Ahmed b. Mahmud b. Ebü’l-Feth b. Mahmud b. Ebü’l-Kasım et-Tekrîşî </w:t>
      </w:r>
      <w:r w:rsidR="00DB090C">
        <w:t>ise hadis ilmiyle ilgilenmiş, kendisinden hadis dinleyen herkese birer dinar dağıtmıştır. Ayrıca İskenderiye limanında bir medrese inşa etmiştir. Onun şiir yazdığı da rivayet edilmektedir.</w:t>
      </w:r>
      <w:r w:rsidR="00DB090C">
        <w:rPr>
          <w:rStyle w:val="DipnotBavurusu"/>
        </w:rPr>
        <w:footnoteReference w:id="36"/>
      </w:r>
    </w:p>
    <w:p w14:paraId="18EFC5F2" w14:textId="77777777" w:rsidR="00B256B1" w:rsidRDefault="00B256B1" w:rsidP="000E407E">
      <w:pPr>
        <w:pStyle w:val="NormalWeb"/>
        <w:spacing w:line="360" w:lineRule="auto"/>
        <w:jc w:val="both"/>
        <w:rPr>
          <w:b/>
          <w:bCs/>
        </w:rPr>
      </w:pPr>
    </w:p>
    <w:p w14:paraId="638A5E4A" w14:textId="4BB5C130" w:rsidR="00FC34EE" w:rsidRPr="00FC34EE" w:rsidRDefault="000E407E" w:rsidP="000E407E">
      <w:pPr>
        <w:pStyle w:val="NormalWeb"/>
        <w:spacing w:line="360" w:lineRule="auto"/>
        <w:jc w:val="both"/>
      </w:pPr>
      <w:r w:rsidRPr="00306187">
        <w:rPr>
          <w:rStyle w:val="Gl"/>
          <w:rFonts w:eastAsiaTheme="majorEastAsia"/>
          <w:b w:val="0"/>
          <w:bCs w:val="0"/>
        </w:rPr>
        <w:lastRenderedPageBreak/>
        <w:t xml:space="preserve">      </w:t>
      </w:r>
      <w:r w:rsidR="00FC34EE" w:rsidRPr="00306187">
        <w:rPr>
          <w:rStyle w:val="Gl"/>
          <w:rFonts w:eastAsiaTheme="majorEastAsia"/>
          <w:b w:val="0"/>
          <w:bCs w:val="0"/>
        </w:rPr>
        <w:t>Kârim tüccarları</w:t>
      </w:r>
      <w:r w:rsidR="00FC34EE" w:rsidRPr="00306187">
        <w:rPr>
          <w:b/>
          <w:bCs/>
        </w:rPr>
        <w:t xml:space="preserve">, </w:t>
      </w:r>
      <w:r w:rsidR="00FC34EE" w:rsidRPr="00306187">
        <w:rPr>
          <w:rStyle w:val="Gl"/>
          <w:rFonts w:eastAsiaTheme="majorEastAsia"/>
          <w:b w:val="0"/>
          <w:bCs w:val="0"/>
        </w:rPr>
        <w:t>İslam’ın yayılmasında önemli bir rol</w:t>
      </w:r>
      <w:r w:rsidR="00FC34EE">
        <w:t xml:space="preserve"> oynamışlardır. Çünkü ticaret, Müslümanların inançlarını </w:t>
      </w:r>
      <w:r w:rsidR="00FC34EE" w:rsidRPr="00306187">
        <w:rPr>
          <w:rStyle w:val="Gl"/>
          <w:rFonts w:eastAsiaTheme="majorEastAsia"/>
          <w:b w:val="0"/>
          <w:bCs w:val="0"/>
        </w:rPr>
        <w:t>dünyanın farklı bölgelerine yaymak için kullandıkları önemli araçlardan biri</w:t>
      </w:r>
      <w:r w:rsidR="00FC34EE" w:rsidRPr="00306187">
        <w:rPr>
          <w:b/>
          <w:bCs/>
        </w:rPr>
        <w:t xml:space="preserve"> </w:t>
      </w:r>
      <w:r w:rsidR="00FC34EE">
        <w:t xml:space="preserve">olmuştur. Kârim tüccarlarının kervanlarıyla birlikte yolculuk eden </w:t>
      </w:r>
      <w:r w:rsidR="00FC34EE" w:rsidRPr="00F300B8">
        <w:rPr>
          <w:rStyle w:val="Gl"/>
          <w:rFonts w:eastAsiaTheme="majorEastAsia"/>
          <w:b w:val="0"/>
          <w:bCs w:val="0"/>
        </w:rPr>
        <w:t>tasavvufî (sûfî)</w:t>
      </w:r>
      <w:r w:rsidR="00FC34EE">
        <w:rPr>
          <w:rStyle w:val="Gl"/>
          <w:rFonts w:eastAsiaTheme="majorEastAsia"/>
        </w:rPr>
        <w:t xml:space="preserve"> </w:t>
      </w:r>
      <w:r w:rsidR="00FC34EE" w:rsidRPr="00306187">
        <w:rPr>
          <w:rStyle w:val="Gl"/>
          <w:rFonts w:eastAsiaTheme="majorEastAsia"/>
          <w:b w:val="0"/>
          <w:bCs w:val="0"/>
        </w:rPr>
        <w:t>gruplar</w:t>
      </w:r>
      <w:r w:rsidR="00FC34EE" w:rsidRPr="00306187">
        <w:rPr>
          <w:b/>
          <w:bCs/>
        </w:rPr>
        <w:t xml:space="preserve"> </w:t>
      </w:r>
      <w:r w:rsidR="00FC34EE">
        <w:t>bulunmaktaydı. Bu gruplar</w:t>
      </w:r>
      <w:r w:rsidR="00FC34EE" w:rsidRPr="00306187">
        <w:rPr>
          <w:b/>
          <w:bCs/>
        </w:rPr>
        <w:t xml:space="preserve">, </w:t>
      </w:r>
      <w:r w:rsidR="00FC34EE" w:rsidRPr="00306187">
        <w:rPr>
          <w:rStyle w:val="Gl"/>
          <w:rFonts w:eastAsiaTheme="majorEastAsia"/>
          <w:b w:val="0"/>
          <w:bCs w:val="0"/>
        </w:rPr>
        <w:t>İslam’a davet görevini</w:t>
      </w:r>
      <w:r w:rsidR="00FC34EE">
        <w:t xml:space="preserve"> üstlenmişlerdir.</w:t>
      </w:r>
    </w:p>
    <w:p w14:paraId="4E502136" w14:textId="36E05669" w:rsidR="00FC34EE" w:rsidRDefault="000E407E" w:rsidP="000E407E">
      <w:pPr>
        <w:pStyle w:val="NormalWeb"/>
        <w:spacing w:line="360" w:lineRule="auto"/>
        <w:jc w:val="both"/>
      </w:pPr>
      <w:r>
        <w:t xml:space="preserve">      </w:t>
      </w:r>
      <w:r w:rsidR="00FC34EE">
        <w:t>Kârim tüccarları ve onlarla birlikte hareket eden davetçiler</w:t>
      </w:r>
      <w:r w:rsidR="00FC34EE" w:rsidRPr="00306187">
        <w:rPr>
          <w:b/>
          <w:bCs/>
        </w:rPr>
        <w:t xml:space="preserve">, </w:t>
      </w:r>
      <w:r w:rsidR="00FC34EE" w:rsidRPr="00306187">
        <w:rPr>
          <w:rStyle w:val="Gl"/>
          <w:rFonts w:eastAsiaTheme="majorEastAsia"/>
          <w:b w:val="0"/>
          <w:bCs w:val="0"/>
        </w:rPr>
        <w:t>Sudan, Hindistan, Güneydoğu Asya ve Uzak Doğu</w:t>
      </w:r>
      <w:r w:rsidR="00FC34EE">
        <w:t xml:space="preserve"> gibi birçok bölgede etkili olmuşlardır. Özellikle </w:t>
      </w:r>
      <w:r w:rsidR="00FC34EE" w:rsidRPr="00306187">
        <w:rPr>
          <w:rStyle w:val="Gl"/>
          <w:rFonts w:eastAsiaTheme="majorEastAsia"/>
          <w:b w:val="0"/>
          <w:bCs w:val="0"/>
        </w:rPr>
        <w:t>Batı Sudan’da</w:t>
      </w:r>
      <w:r w:rsidR="00FC34EE" w:rsidRPr="00306187">
        <w:rPr>
          <w:b/>
          <w:bCs/>
        </w:rPr>
        <w:t xml:space="preserve">, </w:t>
      </w:r>
      <w:r w:rsidR="00FC34EE" w:rsidRPr="00306187">
        <w:rPr>
          <w:rStyle w:val="Gl"/>
          <w:rFonts w:eastAsiaTheme="majorEastAsia"/>
          <w:b w:val="0"/>
          <w:bCs w:val="0"/>
        </w:rPr>
        <w:t>Mısır sınırlarında</w:t>
      </w:r>
      <w:r w:rsidR="00FC34EE" w:rsidRPr="00306187">
        <w:rPr>
          <w:b/>
          <w:bCs/>
        </w:rPr>
        <w:t xml:space="preserve"> ve </w:t>
      </w:r>
      <w:r w:rsidR="00FC34EE" w:rsidRPr="00306187">
        <w:rPr>
          <w:rStyle w:val="Gl"/>
          <w:rFonts w:eastAsiaTheme="majorEastAsia"/>
          <w:b w:val="0"/>
          <w:bCs w:val="0"/>
        </w:rPr>
        <w:t>Nubya topraklarında</w:t>
      </w:r>
      <w:r w:rsidR="00FC34EE">
        <w:t xml:space="preserve"> dikkat çekici bir ticari faaliyet yürütmüşlerdir.</w:t>
      </w:r>
    </w:p>
    <w:p w14:paraId="7316F6C5" w14:textId="3A1096EA" w:rsidR="00FC34EE" w:rsidRDefault="000E407E" w:rsidP="000E407E">
      <w:pPr>
        <w:pStyle w:val="NormalWeb"/>
        <w:spacing w:line="360" w:lineRule="auto"/>
        <w:jc w:val="both"/>
      </w:pPr>
      <w:r w:rsidRPr="00306187">
        <w:rPr>
          <w:rStyle w:val="Gl"/>
          <w:rFonts w:eastAsiaTheme="majorEastAsia"/>
          <w:b w:val="0"/>
          <w:bCs w:val="0"/>
        </w:rPr>
        <w:t xml:space="preserve">    </w:t>
      </w:r>
      <w:r w:rsidR="00FC34EE" w:rsidRPr="00306187">
        <w:rPr>
          <w:rStyle w:val="Gl"/>
          <w:rFonts w:eastAsiaTheme="majorEastAsia"/>
          <w:b w:val="0"/>
          <w:bCs w:val="0"/>
        </w:rPr>
        <w:t>Güneydoğu Asya’da</w:t>
      </w:r>
      <w:r w:rsidR="00FC34EE" w:rsidRPr="00306187">
        <w:rPr>
          <w:b/>
          <w:bCs/>
        </w:rPr>
        <w:t xml:space="preserve"> </w:t>
      </w:r>
      <w:r w:rsidR="00FC34EE" w:rsidRPr="00306187">
        <w:t>ise,</w:t>
      </w:r>
      <w:r w:rsidR="00FC34EE">
        <w:t xml:space="preserve"> Kârim tüccarlarının </w:t>
      </w:r>
      <w:r w:rsidR="00FC34EE" w:rsidRPr="00306187">
        <w:rPr>
          <w:rStyle w:val="Gl"/>
          <w:rFonts w:eastAsiaTheme="majorEastAsia"/>
          <w:b w:val="0"/>
          <w:bCs w:val="0"/>
        </w:rPr>
        <w:t>limanlara yerleşmesi ve ticari faaliyetlerini sürdürmesi</w:t>
      </w:r>
      <w:r w:rsidR="00FC34EE" w:rsidRPr="00306187">
        <w:rPr>
          <w:b/>
          <w:bCs/>
        </w:rPr>
        <w:t xml:space="preserve">, </w:t>
      </w:r>
      <w:r w:rsidR="00FC34EE" w:rsidRPr="00306187">
        <w:rPr>
          <w:rStyle w:val="Gl"/>
          <w:rFonts w:eastAsiaTheme="majorEastAsia"/>
          <w:b w:val="0"/>
          <w:bCs w:val="0"/>
        </w:rPr>
        <w:t>Doğu Hint Adaları’nda İslam’ın yayılmasına büyük katkı sağlamıştır</w:t>
      </w:r>
      <w:r w:rsidR="00FC34EE" w:rsidRPr="00306187">
        <w:rPr>
          <w:b/>
          <w:bCs/>
        </w:rPr>
        <w:t xml:space="preserve">. </w:t>
      </w:r>
      <w:r w:rsidR="00FC34EE" w:rsidRPr="00306187">
        <w:rPr>
          <w:rStyle w:val="Gl"/>
          <w:rFonts w:eastAsiaTheme="majorEastAsia"/>
          <w:b w:val="0"/>
          <w:bCs w:val="0"/>
        </w:rPr>
        <w:t>13. yüzyıldan itibaren</w:t>
      </w:r>
      <w:r w:rsidR="00FC34EE" w:rsidRPr="00306187">
        <w:rPr>
          <w:b/>
          <w:bCs/>
        </w:rPr>
        <w:t xml:space="preserve">, </w:t>
      </w:r>
      <w:r w:rsidR="00FC34EE">
        <w:t>Müslüman davetçiler</w:t>
      </w:r>
      <w:r w:rsidR="00FC34EE" w:rsidRPr="00306187">
        <w:t xml:space="preserve"> </w:t>
      </w:r>
      <w:r w:rsidR="00FC34EE" w:rsidRPr="00306187">
        <w:rPr>
          <w:rStyle w:val="Gl"/>
          <w:rFonts w:eastAsiaTheme="majorEastAsia"/>
          <w:b w:val="0"/>
          <w:bCs w:val="0"/>
        </w:rPr>
        <w:t>Kârim tüccarlarının gemileriyle</w:t>
      </w:r>
      <w:r w:rsidR="00FC34EE" w:rsidRPr="00306187">
        <w:t xml:space="preserve"> </w:t>
      </w:r>
      <w:r w:rsidR="00FC34EE">
        <w:t>bu adalara ulaşmış ve adaların iç kesimlerine kadar ilerlemişlerdir.</w:t>
      </w:r>
      <w:r w:rsidR="00FA4A87">
        <w:rPr>
          <w:rStyle w:val="DipnotBavurusu"/>
        </w:rPr>
        <w:footnoteReference w:id="37"/>
      </w:r>
    </w:p>
    <w:p w14:paraId="183D9B9C" w14:textId="297A7297" w:rsidR="00112906" w:rsidRPr="007B4E57" w:rsidRDefault="000E407E" w:rsidP="000E407E">
      <w:pPr>
        <w:pStyle w:val="NormalWeb"/>
        <w:spacing w:line="360" w:lineRule="auto"/>
        <w:jc w:val="both"/>
      </w:pPr>
      <w:r w:rsidRPr="007B4E57">
        <w:rPr>
          <w:b/>
          <w:bCs/>
        </w:rPr>
        <w:t xml:space="preserve"> </w:t>
      </w:r>
      <w:r w:rsidR="00112906" w:rsidRPr="007B4E57">
        <w:rPr>
          <w:b/>
          <w:bCs/>
        </w:rPr>
        <w:t>Abdüllatif b. Reşid b. Muhammed b. Sedîd er-Rabîʿî et-Tekrîtî,</w:t>
      </w:r>
      <w:r w:rsidR="00112906" w:rsidRPr="007B4E57">
        <w:t xml:space="preserve"> İskenderiye’de ikamet etmiş ve </w:t>
      </w:r>
      <w:r w:rsidR="00112906" w:rsidRPr="007B4E57">
        <w:rPr>
          <w:b/>
          <w:bCs/>
        </w:rPr>
        <w:t xml:space="preserve">713 H / 1313 M </w:t>
      </w:r>
      <w:r w:rsidR="00112906" w:rsidRPr="007B4E57">
        <w:t>yılında vefat etmiştir. O da Kârimîlerin ileri gelenlerinden olup güzel ahlakı ve iyilikleriyle tanınmıştır. Şiirde üstün bir yeteneğe ve iyi bir yazı üslubuna sahipti. Peygamber övgülerine (na‘t) dair meşhur bir divan kaleme almıştır. Kaynaklarda onun bilgili, faziletli, saygın ve halk arasında itibarlı bir lider olduğu belirtilmektedir.</w:t>
      </w:r>
    </w:p>
    <w:p w14:paraId="07072960" w14:textId="0A0D309F" w:rsidR="00675E76" w:rsidRPr="00675E76" w:rsidRDefault="007B4E57" w:rsidP="000E407E">
      <w:pPr>
        <w:pStyle w:val="NormalWeb"/>
        <w:spacing w:line="360" w:lineRule="auto"/>
        <w:jc w:val="both"/>
      </w:pPr>
      <w:r>
        <w:t xml:space="preserve"> </w:t>
      </w:r>
      <w:r w:rsidR="00076BB0">
        <w:t xml:space="preserve"> </w:t>
      </w:r>
      <w:r>
        <w:t xml:space="preserve">  </w:t>
      </w:r>
      <w:r w:rsidR="00675E76">
        <w:t>Kaynaklar, Kârimî tüccarlarının isimlerini ayrıntılı biçimde zikretmiştir</w:t>
      </w:r>
      <w:r w:rsidR="00675E76" w:rsidRPr="007B4E57">
        <w:rPr>
          <w:b/>
          <w:bCs/>
        </w:rPr>
        <w:t>. İbn Hacer el-Askalânî,</w:t>
      </w:r>
      <w:r w:rsidR="00675E76">
        <w:t xml:space="preserve"> Kârimî tüccarı </w:t>
      </w:r>
      <w:r w:rsidR="00675E76" w:rsidRPr="007B4E57">
        <w:rPr>
          <w:b/>
          <w:bCs/>
        </w:rPr>
        <w:t>Nûreddin Ali el-Harûbî’den</w:t>
      </w:r>
      <w:r w:rsidR="00675E76">
        <w:t xml:space="preserve"> bahseder; onun Mescid-i Haram’ın imarına bağışta bulunduğunu belirtir.</w:t>
      </w:r>
    </w:p>
    <w:p w14:paraId="20516C75" w14:textId="6BE34CFB" w:rsidR="00B75193" w:rsidRPr="00CA52E0" w:rsidRDefault="00076BB0" w:rsidP="00B75193">
      <w:pPr>
        <w:pStyle w:val="NormalWeb"/>
        <w:spacing w:line="360" w:lineRule="auto"/>
        <w:jc w:val="both"/>
      </w:pPr>
      <w:r>
        <w:t xml:space="preserve">  </w:t>
      </w:r>
      <w:r w:rsidR="00675E76" w:rsidRPr="00F300B8">
        <w:t>Sehâvî (Muhammed b. Abdurrahman, Şemseddin – ö. 902 H / 1427 M) ise şu isimleri kaydeder:</w:t>
      </w:r>
      <w:r w:rsidR="0078502E" w:rsidRPr="00F300B8">
        <w:t xml:space="preserve"> </w:t>
      </w:r>
      <w:r w:rsidR="0078502E">
        <w:t>Burhâneddin b. el-Mahallî: Nil Nehri kıyısındaki sarayının yanında bir medrese inşa etmiştir.</w:t>
      </w:r>
      <w:r w:rsidR="0078502E" w:rsidRPr="0078502E">
        <w:rPr>
          <w:b/>
          <w:bCs/>
        </w:rPr>
        <w:t xml:space="preserve"> </w:t>
      </w:r>
      <w:r w:rsidR="0078502E" w:rsidRPr="008827E7">
        <w:rPr>
          <w:b/>
          <w:bCs/>
        </w:rPr>
        <w:t>Ali b. Muhammed et-Tabenzî: İhtiyaç sahiplerine borç para veren, insanlarla iyi ilişkiler kuran bir tüccardı.</w:t>
      </w:r>
      <w:r w:rsidR="0078502E" w:rsidRPr="0078502E">
        <w:t xml:space="preserve"> </w:t>
      </w:r>
      <w:r w:rsidR="0078502E">
        <w:t>Sehâvî ayrıca hadisle meşgul olan Kârimî tüccarları da zikreder:</w:t>
      </w:r>
      <w:r w:rsidR="00B75193" w:rsidRPr="00B75193">
        <w:t xml:space="preserve"> </w:t>
      </w:r>
      <w:r w:rsidR="00B75193">
        <w:t>Saîd Garseddin el-</w:t>
      </w:r>
      <w:r w:rsidR="00B75193" w:rsidRPr="00B75193">
        <w:rPr>
          <w:b/>
          <w:bCs/>
        </w:rPr>
        <w:t>Efkehîsî:</w:t>
      </w:r>
      <w:r w:rsidR="00B75193">
        <w:t xml:space="preserve"> Hadis dersleri vermiş, adil bir şahit, fakih ve şairdi.</w:t>
      </w:r>
    </w:p>
    <w:p w14:paraId="58153CA0" w14:textId="77777777" w:rsidR="0062544A" w:rsidRDefault="00B75193" w:rsidP="0062544A">
      <w:pPr>
        <w:pStyle w:val="NormalWeb"/>
        <w:spacing w:line="360" w:lineRule="auto"/>
        <w:jc w:val="both"/>
      </w:pPr>
      <w:r w:rsidRPr="00B75193">
        <w:rPr>
          <w:b/>
          <w:bCs/>
        </w:rPr>
        <w:lastRenderedPageBreak/>
        <w:t>Zekiyyüddin b. Revâha el-Kârimî:</w:t>
      </w:r>
      <w:r>
        <w:t xml:space="preserve"> Hadis rivayet etmiş, çok sayıda hadis dinlemiştir.</w:t>
      </w:r>
      <w:r w:rsidRPr="00B75193">
        <w:t xml:space="preserve"> </w:t>
      </w:r>
      <w:r w:rsidRPr="00C17CE3">
        <w:rPr>
          <w:b/>
          <w:bCs/>
        </w:rPr>
        <w:t>Ebû Bekir Hâce Hasan b. Ahmed et-Tâhir:</w:t>
      </w:r>
      <w:r>
        <w:t xml:space="preserve"> Kahire’deki Ezher Camii’nde hadis okutmuştur.</w:t>
      </w:r>
      <w:r w:rsidR="00C17CE3" w:rsidRPr="00C17CE3">
        <w:t xml:space="preserve"> </w:t>
      </w:r>
      <w:r w:rsidR="00C17CE3">
        <w:t xml:space="preserve">Sehâvî, kendi hocası olan ve tüccarların reisi </w:t>
      </w:r>
      <w:r w:rsidR="00C17CE3" w:rsidRPr="00C17CE3">
        <w:rPr>
          <w:b/>
          <w:bCs/>
        </w:rPr>
        <w:t>Nâsırüddin el-Bâlî’nin</w:t>
      </w:r>
      <w:r w:rsidR="00C17CE3">
        <w:t xml:space="preserve"> kızı hakkında da bilgi verir; onun doğruluğu, güvenilirliği ve ilmiyle meşhur bir kadın muhaddise olduğunu söyler.</w:t>
      </w:r>
      <w:r w:rsidR="00A55069" w:rsidRPr="00A55069">
        <w:t xml:space="preserve"> </w:t>
      </w:r>
      <w:r w:rsidR="00A55069" w:rsidRPr="00A55069">
        <w:rPr>
          <w:b/>
          <w:bCs/>
        </w:rPr>
        <w:t>Yahyâ b. Ömer b. Ahmed el-Havrânî el-Hamevî’nin,</w:t>
      </w:r>
      <w:r w:rsidR="00A55069">
        <w:t xml:space="preserve"> ilmiyle tanınan ve Kârimîlikle bilinen bir aileden geldiğini belirtir.</w:t>
      </w:r>
      <w:r w:rsidR="007C27B5" w:rsidRPr="007C27B5">
        <w:t xml:space="preserve"> </w:t>
      </w:r>
      <w:r w:rsidR="007C27B5" w:rsidRPr="007C27B5">
        <w:rPr>
          <w:b/>
          <w:bCs/>
        </w:rPr>
        <w:t xml:space="preserve">Celâleddîn el-Mâlikî b. Süveyd el-Mısrî, </w:t>
      </w:r>
      <w:r w:rsidR="007C27B5">
        <w:t>“Muhaddislerin sultanı” lakabıyla tanınmış olup, Yukarı Mısır, Mekke ve Medine’de Kârimî ticaretini yönetmiştir.</w:t>
      </w:r>
      <w:r w:rsidR="007C27B5" w:rsidRPr="007C27B5">
        <w:t xml:space="preserve"> </w:t>
      </w:r>
      <w:r w:rsidR="007C27B5">
        <w:t>Kârimî tüccarlarının ilmi eserleri de çağdaşları için büyük önem taşımıştır:</w:t>
      </w:r>
      <w:r w:rsidR="007C27B5" w:rsidRPr="007C27B5">
        <w:t xml:space="preserve"> </w:t>
      </w:r>
      <w:r w:rsidR="007C27B5" w:rsidRPr="007C27B5">
        <w:rPr>
          <w:b/>
          <w:bCs/>
        </w:rPr>
        <w:t>Ahmed b. Hâlid el-Fârikî el-Kârimî,</w:t>
      </w:r>
      <w:r w:rsidR="007C27B5">
        <w:t xml:space="preserve"> kırk hadis rivayet etmiş, daha sonra bunları içeren bir eser (mu‘cem) yazmıştır</w:t>
      </w:r>
      <w:r w:rsidR="007C27B5" w:rsidRPr="007C27B5">
        <w:rPr>
          <w:b/>
          <w:bCs/>
        </w:rPr>
        <w:t>. Bedreddin Muhammed b. Ebû Bekir ed-Demâmînî</w:t>
      </w:r>
      <w:r w:rsidR="007C27B5">
        <w:t>: Fakih ve muhaddis olup</w:t>
      </w:r>
      <w:r w:rsidR="007C27B5" w:rsidRPr="00B538C5">
        <w:rPr>
          <w:b/>
          <w:bCs/>
        </w:rPr>
        <w:t xml:space="preserve">, “Mesâbîhu’l-Câmi‘” </w:t>
      </w:r>
      <w:r w:rsidR="007C27B5">
        <w:t xml:space="preserve">ve </w:t>
      </w:r>
      <w:r w:rsidR="007C27B5" w:rsidRPr="00B538C5">
        <w:rPr>
          <w:b/>
          <w:bCs/>
        </w:rPr>
        <w:t>“Tuhfetü’l-Garîb”</w:t>
      </w:r>
      <w:r w:rsidR="007C27B5">
        <w:t xml:space="preserve"> gibi eserler kaleme almıştır.</w:t>
      </w:r>
      <w:r w:rsidR="007C27B5" w:rsidRPr="007C27B5">
        <w:t xml:space="preserve"> </w:t>
      </w:r>
      <w:r w:rsidR="007C27B5" w:rsidRPr="007C27B5">
        <w:rPr>
          <w:b/>
          <w:bCs/>
        </w:rPr>
        <w:t>Celâleddîn el-Mecelî,</w:t>
      </w:r>
      <w:r w:rsidR="007C27B5">
        <w:t xml:space="preserve"> fıkıh, hadis, usûl, nahiv ve mantık alanlarında çok meşhur bir Kârimî tüccarı idi; hadis ve medih (Bürde şerhi) alanında eserler okutup okutmuştur Ayrıca, öğrencisi </w:t>
      </w:r>
      <w:r w:rsidR="007C27B5" w:rsidRPr="007C27B5">
        <w:rPr>
          <w:b/>
          <w:bCs/>
        </w:rPr>
        <w:t>Celâleddîn es-Süyûtî</w:t>
      </w:r>
      <w:r w:rsidR="007C27B5">
        <w:t xml:space="preserve"> ile birlikte “</w:t>
      </w:r>
      <w:r w:rsidR="007C27B5" w:rsidRPr="007C27B5">
        <w:rPr>
          <w:b/>
          <w:bCs/>
        </w:rPr>
        <w:t xml:space="preserve">Tefsîru’l-Celâleyn” </w:t>
      </w:r>
      <w:r w:rsidR="007C27B5">
        <w:t>adlı eserin telifine katkıda bulunmuştur.</w:t>
      </w:r>
      <w:r w:rsidR="0062544A" w:rsidRPr="0062544A">
        <w:t xml:space="preserve"> </w:t>
      </w:r>
    </w:p>
    <w:p w14:paraId="19B2A5EA" w14:textId="1D03CCC6" w:rsidR="0062544A" w:rsidRDefault="00076BB0" w:rsidP="0062544A">
      <w:pPr>
        <w:pStyle w:val="NormalWeb"/>
        <w:spacing w:line="360" w:lineRule="auto"/>
        <w:jc w:val="both"/>
      </w:pPr>
      <w:r>
        <w:t xml:space="preserve"> </w:t>
      </w:r>
      <w:r w:rsidR="0043341B">
        <w:t xml:space="preserve"> </w:t>
      </w:r>
      <w:r w:rsidR="0062544A">
        <w:t>Bunun yanında Kârimî tüccarları:</w:t>
      </w:r>
      <w:r w:rsidR="0062544A" w:rsidRPr="0062544A">
        <w:t xml:space="preserve"> </w:t>
      </w:r>
      <w:r w:rsidR="0062544A">
        <w:t>İlmî meclisler ve fikrî münazaralar düzenler,</w:t>
      </w:r>
      <w:r w:rsidR="0062544A" w:rsidRPr="0062544A">
        <w:t xml:space="preserve"> </w:t>
      </w:r>
      <w:r w:rsidR="0062544A">
        <w:t>Fıkıh ve hadis toplantılarına düzenli olarak katılır,</w:t>
      </w:r>
      <w:r w:rsidR="0062544A" w:rsidRPr="0062544A">
        <w:t xml:space="preserve"> </w:t>
      </w:r>
      <w:r w:rsidR="0062544A">
        <w:t>Bazıları sultanlar ve emirlerle birlikte ilmî meclislerde bulunur,</w:t>
      </w:r>
      <w:r w:rsidR="0062544A" w:rsidRPr="0062544A">
        <w:t xml:space="preserve"> </w:t>
      </w:r>
      <w:r w:rsidR="0062544A">
        <w:t xml:space="preserve">Bu meclislerde </w:t>
      </w:r>
      <w:r w:rsidR="0062544A" w:rsidRPr="0062544A">
        <w:rPr>
          <w:b/>
          <w:bCs/>
        </w:rPr>
        <w:t>Sahîh-i Buhârî ve “eş-Şifâ”</w:t>
      </w:r>
      <w:r w:rsidR="0062544A">
        <w:t xml:space="preserve"> gibi eserler okunur,</w:t>
      </w:r>
      <w:r w:rsidR="0062544A" w:rsidRPr="0062544A">
        <w:t xml:space="preserve"> </w:t>
      </w:r>
      <w:r w:rsidR="0062544A">
        <w:t>Dönemin büyük âlim ve muhaddislerinden icazet alırlardı.</w:t>
      </w:r>
      <w:r w:rsidR="0062544A">
        <w:rPr>
          <w:rStyle w:val="DipnotBavurusu"/>
        </w:rPr>
        <w:footnoteReference w:id="38"/>
      </w:r>
      <w:r w:rsidR="0062544A" w:rsidRPr="0062544A">
        <w:t xml:space="preserve"> </w:t>
      </w:r>
      <w:r w:rsidR="0062544A">
        <w:t xml:space="preserve">Yine ünlü Kârimî tüccar </w:t>
      </w:r>
      <w:r w:rsidR="0062544A" w:rsidRPr="0062544A">
        <w:rPr>
          <w:b/>
          <w:bCs/>
        </w:rPr>
        <w:t xml:space="preserve">Abdüllatif b. Muhammed b. Mesned el-İskenderânî </w:t>
      </w:r>
      <w:r w:rsidR="0062544A">
        <w:t>(714 H / 1314 M yılında vefat etmiştir), İskenderiye limanında bir medrese bırakmıştır. Kendisi aynı zamanda hadis âlimi ve şair olup Peygamber’i öven şiirler yazmıştır.</w:t>
      </w:r>
      <w:r w:rsidR="0062544A">
        <w:rPr>
          <w:rStyle w:val="DipnotBavurusu"/>
        </w:rPr>
        <w:footnoteReference w:id="39"/>
      </w:r>
    </w:p>
    <w:p w14:paraId="54A4FE8B" w14:textId="7593BC13" w:rsidR="00675E76" w:rsidRDefault="00675E76" w:rsidP="0062544A">
      <w:pPr>
        <w:pStyle w:val="NormalWeb"/>
        <w:spacing w:line="360" w:lineRule="auto"/>
        <w:jc w:val="both"/>
      </w:pPr>
    </w:p>
    <w:p w14:paraId="54A2B4F4" w14:textId="77777777" w:rsidR="00112906" w:rsidRDefault="00112906" w:rsidP="000E407E">
      <w:pPr>
        <w:pStyle w:val="NormalWeb"/>
        <w:spacing w:line="360" w:lineRule="auto"/>
        <w:jc w:val="both"/>
      </w:pPr>
    </w:p>
    <w:p w14:paraId="22CD562C" w14:textId="77777777" w:rsidR="00FC34EE" w:rsidRDefault="00FC34EE" w:rsidP="000E407E">
      <w:pPr>
        <w:pStyle w:val="NormalWeb"/>
        <w:spacing w:line="360" w:lineRule="auto"/>
        <w:jc w:val="both"/>
        <w:rPr>
          <w:b/>
          <w:bCs/>
        </w:rPr>
      </w:pPr>
    </w:p>
    <w:p w14:paraId="431CF603" w14:textId="77777777" w:rsidR="009338FB" w:rsidRDefault="009338FB" w:rsidP="000E407E">
      <w:pPr>
        <w:pStyle w:val="NormalWeb"/>
        <w:spacing w:line="360" w:lineRule="auto"/>
        <w:jc w:val="both"/>
        <w:rPr>
          <w:b/>
          <w:bCs/>
        </w:rPr>
      </w:pPr>
    </w:p>
    <w:p w14:paraId="715EFBFE" w14:textId="77777777" w:rsidR="00C479FC" w:rsidRDefault="00C479FC" w:rsidP="00C479FC">
      <w:pPr>
        <w:pStyle w:val="NormalWeb"/>
        <w:rPr>
          <w:rStyle w:val="Gl"/>
          <w:rFonts w:eastAsiaTheme="majorEastAsia"/>
        </w:rPr>
      </w:pPr>
      <w:r>
        <w:rPr>
          <w:b/>
          <w:bCs/>
        </w:rPr>
        <w:lastRenderedPageBreak/>
        <w:t xml:space="preserve">6) </w:t>
      </w:r>
      <w:r>
        <w:rPr>
          <w:rStyle w:val="Gl"/>
          <w:rFonts w:eastAsiaTheme="majorEastAsia"/>
        </w:rPr>
        <w:t>Kârimî Ticaretinin Sonu</w:t>
      </w:r>
    </w:p>
    <w:p w14:paraId="0C1430D4" w14:textId="4920F493" w:rsidR="007E756A" w:rsidRPr="007E756A" w:rsidRDefault="008810F8" w:rsidP="008810F8">
      <w:pPr>
        <w:pStyle w:val="NormalWeb"/>
        <w:spacing w:line="360" w:lineRule="auto"/>
        <w:jc w:val="both"/>
      </w:pPr>
      <w:r>
        <w:t xml:space="preserve">      </w:t>
      </w:r>
      <w:r w:rsidR="007E756A">
        <w:t>Kârimî ticareti, dış ve iç etkenlerin bir araya gelmesi sonucunda zamanla çöküşe uğramıştır. 691/1291 yılında Memlük Sultanı el-Eşref Halil b. Kalavun’un Akka’yı fethederek Haçlıların Şam bölgesindeki son kalesine son vermesinin ardından, Papalık Memlüklere karşı Avrupa çapında ticari ve askerî ambargoyu yeniden yürürlüğe koymuştur. Özellikle askerî malzemelerin Memlüklere ulaştırılmasının yasaklanması, onların ateşli silahlar alanında gelişmesini engellemiş; bu durum Portekizlilerin Doğu ticaretini ele geçirmesine zemin hazırlamıştır. Buna ek olarak Batılı korsanların Kızıldeniz ve Hint Okyanusu’ndaki saldırıları, Kârimî ticaretine ağır zararlar vererek ticaretin durgunlaşmasına yol açmıştır.</w:t>
      </w:r>
      <w:r w:rsidR="00376307">
        <w:rPr>
          <w:rStyle w:val="DipnotBavurusu"/>
        </w:rPr>
        <w:footnoteReference w:id="40"/>
      </w:r>
    </w:p>
    <w:p w14:paraId="7DA1F65A" w14:textId="5969A52C" w:rsidR="007E756A" w:rsidRDefault="008810F8" w:rsidP="008810F8">
      <w:pPr>
        <w:pStyle w:val="NormalWeb"/>
        <w:spacing w:line="360" w:lineRule="auto"/>
        <w:jc w:val="both"/>
      </w:pPr>
      <w:r>
        <w:t xml:space="preserve">      </w:t>
      </w:r>
      <w:r w:rsidR="007E756A">
        <w:t>Kârimî ticaretinin çöküşünde en etkili unsur, Portekizlilerin Ümit Burnu üzerinden yeni deniz yolunu keşfetmeleri ve baharat ticaretini tekelleştirmeleri olmuştur. Böylece Avrupalılar, Müslüman tüccarlar ve özellikle Kârimîler aracılığına ihtiyaç duymadan Hindistan ile doğrudan ticaret yapabilmişlerdir. Vasco da Gama’nın 904/1498 yılında Hindistan’a ulaşmasıyla birlikte bu süreç kesinlik kazanmıştır. Ayrıca Avrupa’da baharata olan talebin azalması ve silah ile barut gibi farklı ürünlere yönelim, Kârimî ticaretinin önemini daha da azaltmıştır. Zamanla ticari malların niteliği değişmiş; baharatın yerini ipek, pamuk ve kahve gibi ürünler almaya başlamıştır.</w:t>
      </w:r>
      <w:r>
        <w:t xml:space="preserve"> </w:t>
      </w:r>
      <w:r w:rsidR="00376307">
        <w:rPr>
          <w:rStyle w:val="DipnotBavurusu"/>
        </w:rPr>
        <w:footnoteReference w:id="41"/>
      </w:r>
    </w:p>
    <w:p w14:paraId="4974C385" w14:textId="57957550" w:rsidR="007E756A" w:rsidRDefault="008810F8" w:rsidP="008810F8">
      <w:pPr>
        <w:pStyle w:val="NormalWeb"/>
        <w:spacing w:line="360" w:lineRule="auto"/>
        <w:jc w:val="both"/>
      </w:pPr>
      <w:r>
        <w:t xml:space="preserve">       </w:t>
      </w:r>
      <w:r w:rsidR="007E756A">
        <w:t>Avrupalı seyyah ve gözlemciler, XVII ve XVIII. yüzyıllarda Kahire pazarlarında baharat çeşitlerinin ciddi biçimde azaldığını kaydetmişlerdir. Portekiz donanmalarının faaliyetleri, Kahire merkezli Hint ticaretini büyük ölçüde sekteye uğratmış olsa da şehir bir süre daha önemli bir ticaret merkezi olma özelliğini korumuştur. Bununla birlikte, Kârimî ticaretinin çöküşünde Memlük sultanlarının uyguladığı iç politikalar da etkili olmuştur. Özellikle Sultan Barsbay ve Sultan Kayıtbay dönemlerinde ticaretin devlet tekeline alınması, ağır vergiler konulması ve tüccar mallarına el konulması, Kârimî tüccarlarını bağımsız aktörler olmaktan çıkararak sultanın adına çalışan aracı konumuna düşürmüştür.</w:t>
      </w:r>
    </w:p>
    <w:p w14:paraId="4FB81F10" w14:textId="4676E757" w:rsidR="007E756A" w:rsidRPr="00364A31" w:rsidRDefault="008810F8" w:rsidP="00364A31">
      <w:pPr>
        <w:pStyle w:val="NormalWeb"/>
        <w:spacing w:line="360" w:lineRule="auto"/>
        <w:jc w:val="both"/>
        <w:rPr>
          <w:rStyle w:val="Gl"/>
          <w:b w:val="0"/>
          <w:bCs w:val="0"/>
        </w:rPr>
      </w:pPr>
      <w:r>
        <w:t xml:space="preserve">   </w:t>
      </w:r>
      <w:r w:rsidR="007E756A">
        <w:t xml:space="preserve">Ticaret yollarının giderek Osmanlı topraklarına kaymasıyla birlikte, baharat ticaretinin yönetimi Osmanlı Devleti’nin eline geçmiştir. Osmanlılar bu alanda Arap tüccarların tecrübesinden yararlanmaya devam etmişlerdir. Ancak Kârimî ticaretinin çöküşü, Memlük Devleti’nin ekonomik </w:t>
      </w:r>
      <w:r w:rsidR="007E756A">
        <w:lastRenderedPageBreak/>
        <w:t>gücünü zayıflatmış ve 923/1517 yılında Osmanlılar tarafından yıkılmasının başlıca nedenlerinden biri olmuştur. Böylece Kârimî ticaretiyle birlikte Orta Çağ İslam dünyasının önemli bir ticari dönemi sona ermiştir.</w:t>
      </w:r>
      <w:r w:rsidR="00D40A00">
        <w:rPr>
          <w:rStyle w:val="DipnotBavurusu"/>
        </w:rPr>
        <w:footnoteReference w:id="42"/>
      </w:r>
    </w:p>
    <w:p w14:paraId="4CD9C423" w14:textId="77777777" w:rsidR="00C479FC" w:rsidRPr="007E756A" w:rsidRDefault="00C479FC" w:rsidP="008810F8">
      <w:pPr>
        <w:pStyle w:val="NormalWeb"/>
        <w:jc w:val="both"/>
      </w:pPr>
    </w:p>
    <w:p w14:paraId="6AE04945" w14:textId="7CEB89BC" w:rsidR="00C479FC" w:rsidRPr="00D841E4" w:rsidRDefault="001C56AD" w:rsidP="00D841E4">
      <w:pPr>
        <w:pStyle w:val="NormalWeb"/>
        <w:spacing w:line="360" w:lineRule="auto"/>
        <w:jc w:val="both"/>
        <w:rPr>
          <w:b/>
          <w:bCs/>
          <w:sz w:val="32"/>
          <w:szCs w:val="32"/>
        </w:rPr>
      </w:pPr>
      <w:r w:rsidRPr="00D841E4">
        <w:rPr>
          <w:b/>
          <w:bCs/>
          <w:sz w:val="32"/>
          <w:szCs w:val="32"/>
        </w:rPr>
        <w:t xml:space="preserve">Sonuç </w:t>
      </w:r>
    </w:p>
    <w:p w14:paraId="54E0477C" w14:textId="71E5406F" w:rsidR="00364A31" w:rsidRPr="00364A31" w:rsidRDefault="00D841E4" w:rsidP="00D841E4">
      <w:pPr>
        <w:pStyle w:val="NormalWeb"/>
        <w:spacing w:line="360" w:lineRule="auto"/>
        <w:jc w:val="both"/>
      </w:pPr>
      <w:r>
        <w:t xml:space="preserve">   </w:t>
      </w:r>
      <w:r w:rsidR="00364A31">
        <w:t>Bu araştırma, Kârimî tüccarların Orta Çağ İslam dünyasında yalnızca ekonomik faaliyetlerle sınırlı kalmadığını, aksine siyasî, ilmî ve kültürel alanlarda da derin etkiler bıraktığını ortaya koymuştur. Kârimîler, Doğu ile Batı arasındaki ticaretin ana taşıyıcısı olarak Mısır’ı küresel bir ticaret merkezi hâline getirmiştir.</w:t>
      </w:r>
    </w:p>
    <w:p w14:paraId="3B233BFC" w14:textId="67F9F599" w:rsidR="00364A31" w:rsidRDefault="00D841E4" w:rsidP="00D841E4">
      <w:pPr>
        <w:pStyle w:val="NormalWeb"/>
        <w:spacing w:line="360" w:lineRule="auto"/>
        <w:jc w:val="both"/>
      </w:pPr>
      <w:r>
        <w:t xml:space="preserve">    </w:t>
      </w:r>
      <w:r w:rsidR="00364A31">
        <w:t>Fâtımîler, Eyyûbîler ve özellikle Memlükler döneminde devlet ile kurdukları güvene dayalı ilişkiler sayesinde, ekonomik istikrarın sağlanmasında belirleyici bir rol üstlenmişlerdir. Devletin kriz ve savaş dönemlerinde sağladıkları mali destek, onları Orta Çağ’ın en güçlü tüccar sınıflarından biri hâline getirmiştir.</w:t>
      </w:r>
    </w:p>
    <w:p w14:paraId="51C10784" w14:textId="328841E8" w:rsidR="00364A31" w:rsidRDefault="00D841E4" w:rsidP="00D841E4">
      <w:pPr>
        <w:pStyle w:val="NormalWeb"/>
        <w:spacing w:line="360" w:lineRule="auto"/>
        <w:jc w:val="both"/>
      </w:pPr>
      <w:r>
        <w:t xml:space="preserve">     </w:t>
      </w:r>
      <w:r w:rsidR="00364A31">
        <w:t xml:space="preserve">Bununla birlikte Kârimîler, vakıflar, medreseler ve ilmî faaliyetler yoluyla İslam kültürünün gelişimine katkı sağlamış; sûfîlerle birlikte hareket ederek İslam’ın Afrika ve Güneydoğu Asya’ya yayılmasında etkili olmuşlardır. Bu yönleriyle Kârimî tüccarlar, yalnızca ticaret yapan bir zümre değil, </w:t>
      </w:r>
      <w:r w:rsidR="00364A31">
        <w:rPr>
          <w:rStyle w:val="Gl"/>
          <w:rFonts w:eastAsiaTheme="majorEastAsia"/>
        </w:rPr>
        <w:t>medeniyet inşa eden bir aktör</w:t>
      </w:r>
      <w:r w:rsidR="00364A31">
        <w:t xml:space="preserve"> olarak değerlendirilmelidir.</w:t>
      </w:r>
    </w:p>
    <w:p w14:paraId="3BF865AF" w14:textId="77777777" w:rsidR="00364A31" w:rsidRDefault="00364A31" w:rsidP="008810F8">
      <w:pPr>
        <w:pStyle w:val="NormalWeb"/>
        <w:spacing w:line="360" w:lineRule="auto"/>
        <w:jc w:val="both"/>
        <w:rPr>
          <w:b/>
          <w:bCs/>
          <w:sz w:val="28"/>
          <w:szCs w:val="28"/>
        </w:rPr>
      </w:pPr>
    </w:p>
    <w:p w14:paraId="3D3E7A1E" w14:textId="77777777" w:rsidR="00364A31" w:rsidRPr="001C56AD" w:rsidRDefault="00364A31" w:rsidP="008810F8">
      <w:pPr>
        <w:pStyle w:val="NormalWeb"/>
        <w:spacing w:line="360" w:lineRule="auto"/>
        <w:jc w:val="both"/>
        <w:rPr>
          <w:b/>
          <w:bCs/>
          <w:sz w:val="28"/>
          <w:szCs w:val="28"/>
        </w:rPr>
      </w:pPr>
    </w:p>
    <w:p w14:paraId="5348412D" w14:textId="4916AD07" w:rsidR="009338FB" w:rsidRDefault="009338FB" w:rsidP="008810F8">
      <w:pPr>
        <w:pStyle w:val="NormalWeb"/>
        <w:spacing w:line="360" w:lineRule="auto"/>
        <w:jc w:val="both"/>
      </w:pPr>
    </w:p>
    <w:p w14:paraId="25547598" w14:textId="15F9460C" w:rsidR="009338FB" w:rsidRDefault="009338FB" w:rsidP="008810F8">
      <w:pPr>
        <w:pStyle w:val="NormalWeb"/>
        <w:jc w:val="both"/>
      </w:pPr>
    </w:p>
    <w:p w14:paraId="41F7B724" w14:textId="34301732" w:rsidR="00E62DA7" w:rsidRDefault="00E62DA7" w:rsidP="008810F8">
      <w:pPr>
        <w:pStyle w:val="NormalWeb"/>
        <w:jc w:val="both"/>
      </w:pPr>
    </w:p>
    <w:p w14:paraId="65B9670E" w14:textId="608E4B68" w:rsidR="00252DEC" w:rsidRDefault="0043341B" w:rsidP="008810F8">
      <w:pPr>
        <w:pStyle w:val="NormalWeb"/>
        <w:spacing w:line="360" w:lineRule="auto"/>
        <w:jc w:val="both"/>
        <w:rPr>
          <w:b/>
          <w:bCs/>
        </w:rPr>
      </w:pPr>
      <w:r w:rsidRPr="0043341B">
        <w:rPr>
          <w:b/>
          <w:bCs/>
        </w:rPr>
        <w:lastRenderedPageBreak/>
        <w:t xml:space="preserve">KAYNAKÇA </w:t>
      </w:r>
    </w:p>
    <w:p w14:paraId="6B93D6C9" w14:textId="77777777" w:rsidR="009D2C03" w:rsidRPr="009D2C03" w:rsidRDefault="009D2C03" w:rsidP="009D2C03">
      <w:pPr>
        <w:pStyle w:val="Kaynaka"/>
        <w:rPr>
          <w:rFonts w:ascii="Times New Roman" w:hAnsi="Times New Roman" w:cs="Times New Roman"/>
          <w:kern w:val="0"/>
        </w:rPr>
      </w:pPr>
      <w:r>
        <w:fldChar w:fldCharType="begin"/>
      </w:r>
      <w:r>
        <w:instrText xml:space="preserve"> ADDIN ZOTERO_BIBL {"uncited":[],"omitted":[],"custom":[]} CSL_BIBLIOGRAPHY </w:instrText>
      </w:r>
      <w:r>
        <w:fldChar w:fldCharType="separate"/>
      </w:r>
      <w:r w:rsidRPr="009D2C03">
        <w:rPr>
          <w:rFonts w:ascii="Times New Roman" w:hAnsi="Times New Roman" w:cs="Times New Roman"/>
          <w:kern w:val="0"/>
        </w:rPr>
        <w:t>Çeti̇N’, Altan. “Memlukler Devrinde Karimı Tüccarları” 23/35 (2004), 71-87.</w:t>
      </w:r>
    </w:p>
    <w:p w14:paraId="21A3D3DC" w14:textId="77777777" w:rsidR="009D2C03" w:rsidRPr="009D2C03" w:rsidRDefault="009D2C03" w:rsidP="009D2C03">
      <w:pPr>
        <w:pStyle w:val="Kaynaka"/>
        <w:rPr>
          <w:rFonts w:ascii="Times New Roman" w:hAnsi="Times New Roman" w:cs="Times New Roman"/>
          <w:kern w:val="0"/>
        </w:rPr>
      </w:pPr>
      <w:r w:rsidRPr="009D2C03">
        <w:rPr>
          <w:rFonts w:ascii="Times New Roman" w:hAnsi="Times New Roman" w:cs="Times New Roman"/>
          <w:kern w:val="0"/>
        </w:rPr>
        <w:t xml:space="preserve">Hutayt, Ahmed. “Et-Ticâretu’l-Kârimiyye Ve’l-Kârim Fî Asri’l-Memâlîk: İshâm Fî Dirâseti Târîhi’l-Iktisâdi’l-İslâmi’l-Vasît”. </w:t>
      </w:r>
      <w:r w:rsidRPr="009D2C03">
        <w:rPr>
          <w:rFonts w:ascii="Times New Roman" w:hAnsi="Times New Roman" w:cs="Times New Roman"/>
          <w:i/>
          <w:iCs/>
          <w:kern w:val="0"/>
        </w:rPr>
        <w:t>El-Fikru’l-Arabî</w:t>
      </w:r>
      <w:r w:rsidRPr="009D2C03">
        <w:rPr>
          <w:rFonts w:ascii="Times New Roman" w:hAnsi="Times New Roman" w:cs="Times New Roman"/>
          <w:kern w:val="0"/>
        </w:rPr>
        <w:t xml:space="preserve"> 9/54 (1988), 170-183.</w:t>
      </w:r>
    </w:p>
    <w:p w14:paraId="25036116" w14:textId="77777777" w:rsidR="009D2C03" w:rsidRPr="009D2C03" w:rsidRDefault="009D2C03" w:rsidP="009D2C03">
      <w:pPr>
        <w:pStyle w:val="Kaynaka"/>
        <w:rPr>
          <w:rFonts w:ascii="Times New Roman" w:hAnsi="Times New Roman" w:cs="Times New Roman"/>
          <w:kern w:val="0"/>
        </w:rPr>
      </w:pPr>
      <w:r w:rsidRPr="009D2C03">
        <w:rPr>
          <w:rFonts w:ascii="Times New Roman" w:hAnsi="Times New Roman" w:cs="Times New Roman"/>
          <w:kern w:val="0"/>
        </w:rPr>
        <w:t xml:space="preserve">İbn Haldûn, Abdurrahmân b. Muhammed. </w:t>
      </w:r>
      <w:r w:rsidRPr="009D2C03">
        <w:rPr>
          <w:rFonts w:ascii="Times New Roman" w:hAnsi="Times New Roman" w:cs="Times New Roman"/>
          <w:i/>
          <w:iCs/>
          <w:kern w:val="0"/>
        </w:rPr>
        <w:t>el-Mukaddime</w:t>
      </w:r>
      <w:r w:rsidRPr="009D2C03">
        <w:rPr>
          <w:rFonts w:ascii="Times New Roman" w:hAnsi="Times New Roman" w:cs="Times New Roman"/>
          <w:kern w:val="0"/>
        </w:rPr>
        <w:t>. Beyrut: Dâru’l-Fikr, 1988.</w:t>
      </w:r>
    </w:p>
    <w:p w14:paraId="0DB04B62" w14:textId="77777777" w:rsidR="009D2C03" w:rsidRPr="009D2C03" w:rsidRDefault="009D2C03" w:rsidP="009D2C03">
      <w:pPr>
        <w:pStyle w:val="Kaynaka"/>
        <w:rPr>
          <w:rFonts w:ascii="Times New Roman" w:hAnsi="Times New Roman" w:cs="Times New Roman"/>
          <w:kern w:val="0"/>
        </w:rPr>
      </w:pPr>
      <w:r w:rsidRPr="009D2C03">
        <w:rPr>
          <w:rFonts w:ascii="Times New Roman" w:hAnsi="Times New Roman" w:cs="Times New Roman"/>
          <w:kern w:val="0"/>
        </w:rPr>
        <w:t xml:space="preserve">Keleş, Bahattin. “Memlükler Dönemi̇nde Kâri̇mî Tüccarlarinin Uluslarasi Ti̇caretteki̇ Yeri̇ Ve Önemi̇*”. </w:t>
      </w:r>
      <w:r w:rsidRPr="009D2C03">
        <w:rPr>
          <w:rFonts w:ascii="Times New Roman" w:hAnsi="Times New Roman" w:cs="Times New Roman"/>
          <w:i/>
          <w:iCs/>
          <w:kern w:val="0"/>
        </w:rPr>
        <w:t>Türk İslâm Medeniyeti Akademik Araştırmalar Dergisi</w:t>
      </w:r>
      <w:r w:rsidRPr="009D2C03">
        <w:rPr>
          <w:rFonts w:ascii="Times New Roman" w:hAnsi="Times New Roman" w:cs="Times New Roman"/>
          <w:kern w:val="0"/>
        </w:rPr>
        <w:t>. http://dx.doi.org/10.7827/TurkishStudies.12506</w:t>
      </w:r>
    </w:p>
    <w:p w14:paraId="3F489F88" w14:textId="77777777" w:rsidR="009D2C03" w:rsidRPr="009D2C03" w:rsidRDefault="009D2C03" w:rsidP="009D2C03">
      <w:pPr>
        <w:pStyle w:val="Kaynaka"/>
        <w:rPr>
          <w:rFonts w:ascii="Times New Roman" w:hAnsi="Times New Roman" w:cs="Times New Roman"/>
          <w:kern w:val="0"/>
        </w:rPr>
      </w:pPr>
      <w:r w:rsidRPr="009D2C03">
        <w:rPr>
          <w:rFonts w:ascii="Times New Roman" w:hAnsi="Times New Roman" w:cs="Times New Roman"/>
          <w:kern w:val="0"/>
        </w:rPr>
        <w:t xml:space="preserve">Kûsî, Atıyye Ahmed el-. “Advâ’ Cedîde Alâ Ticâreti’l-Kârim Min Vâkıi Vesâiki’l-Cenîze”. </w:t>
      </w:r>
      <w:r w:rsidRPr="009D2C03">
        <w:rPr>
          <w:rFonts w:ascii="Times New Roman" w:hAnsi="Times New Roman" w:cs="Times New Roman"/>
          <w:i/>
          <w:iCs/>
          <w:kern w:val="0"/>
        </w:rPr>
        <w:t>El-Mecelletu’t-Târîhiyyetu’l-Mısriyye</w:t>
      </w:r>
      <w:r w:rsidRPr="009D2C03">
        <w:rPr>
          <w:rFonts w:ascii="Times New Roman" w:hAnsi="Times New Roman" w:cs="Times New Roman"/>
          <w:kern w:val="0"/>
        </w:rPr>
        <w:t xml:space="preserve"> 22 (1975), 17-39.</w:t>
      </w:r>
    </w:p>
    <w:p w14:paraId="601CEF55" w14:textId="77777777" w:rsidR="009D2C03" w:rsidRPr="009D2C03" w:rsidRDefault="009D2C03" w:rsidP="009D2C03">
      <w:pPr>
        <w:pStyle w:val="Kaynaka"/>
        <w:rPr>
          <w:rFonts w:ascii="Times New Roman" w:hAnsi="Times New Roman" w:cs="Times New Roman"/>
          <w:kern w:val="0"/>
        </w:rPr>
      </w:pPr>
      <w:r w:rsidRPr="009D2C03">
        <w:rPr>
          <w:rFonts w:ascii="Times New Roman" w:hAnsi="Times New Roman" w:cs="Times New Roman"/>
          <w:kern w:val="0"/>
        </w:rPr>
        <w:t xml:space="preserve">Lebîb, Subhî. “Et-Ticcâru’l-Kârimiyye Ve Ticâretu Misr Fî’l-Usûri’l-Vustâ”. </w:t>
      </w:r>
      <w:r w:rsidRPr="009D2C03">
        <w:rPr>
          <w:rFonts w:ascii="Times New Roman" w:hAnsi="Times New Roman" w:cs="Times New Roman"/>
          <w:i/>
          <w:iCs/>
          <w:kern w:val="0"/>
        </w:rPr>
        <w:t>El-Manzûme</w:t>
      </w:r>
      <w:r w:rsidRPr="009D2C03">
        <w:rPr>
          <w:rFonts w:ascii="Times New Roman" w:hAnsi="Times New Roman" w:cs="Times New Roman"/>
          <w:kern w:val="0"/>
        </w:rPr>
        <w:t xml:space="preserve"> 4/2 (2019), 5-63.</w:t>
      </w:r>
    </w:p>
    <w:p w14:paraId="5116824B" w14:textId="77777777" w:rsidR="009D2C03" w:rsidRPr="009D2C03" w:rsidRDefault="009D2C03" w:rsidP="009D2C03">
      <w:pPr>
        <w:pStyle w:val="Kaynaka"/>
        <w:rPr>
          <w:rFonts w:ascii="Times New Roman" w:hAnsi="Times New Roman" w:cs="Times New Roman"/>
          <w:kern w:val="0"/>
        </w:rPr>
      </w:pPr>
      <w:r w:rsidRPr="009D2C03">
        <w:rPr>
          <w:rFonts w:ascii="Times New Roman" w:hAnsi="Times New Roman" w:cs="Times New Roman"/>
          <w:kern w:val="0"/>
        </w:rPr>
        <w:t xml:space="preserve">Meşhedânî, Yâsir el-. “Ru’ye Cedîde Fî Usûli’t-Ticâreti’l-Kârimiyye”. </w:t>
      </w:r>
      <w:r w:rsidRPr="009D2C03">
        <w:rPr>
          <w:rFonts w:ascii="Times New Roman" w:hAnsi="Times New Roman" w:cs="Times New Roman"/>
          <w:i/>
          <w:iCs/>
          <w:kern w:val="0"/>
        </w:rPr>
        <w:t>Havliyyetu’l-Muntedâ Li’d-Dirâsâti’l-Insâniyye</w:t>
      </w:r>
      <w:r w:rsidRPr="009D2C03">
        <w:rPr>
          <w:rFonts w:ascii="Times New Roman" w:hAnsi="Times New Roman" w:cs="Times New Roman"/>
          <w:kern w:val="0"/>
        </w:rPr>
        <w:t xml:space="preserve"> 39 (Temmuz 2019), 167-202. https://doi.org/10.35519/0828-000-039-007</w:t>
      </w:r>
    </w:p>
    <w:p w14:paraId="67915F18" w14:textId="77777777" w:rsidR="009D2C03" w:rsidRPr="009D2C03" w:rsidRDefault="009D2C03" w:rsidP="009D2C03">
      <w:pPr>
        <w:pStyle w:val="Kaynaka"/>
        <w:rPr>
          <w:rFonts w:ascii="Times New Roman" w:hAnsi="Times New Roman" w:cs="Times New Roman"/>
          <w:kern w:val="0"/>
        </w:rPr>
      </w:pPr>
      <w:r w:rsidRPr="009D2C03">
        <w:rPr>
          <w:rFonts w:ascii="Times New Roman" w:hAnsi="Times New Roman" w:cs="Times New Roman"/>
          <w:kern w:val="0"/>
        </w:rPr>
        <w:t xml:space="preserve">Muhammed, Sevâdî Abd. “Ticâretu’l-Kârim Fi’l-Usûri’l-Vustâ El-İslâmiyye”. </w:t>
      </w:r>
      <w:r w:rsidRPr="009D2C03">
        <w:rPr>
          <w:rFonts w:ascii="Times New Roman" w:hAnsi="Times New Roman" w:cs="Times New Roman"/>
          <w:i/>
          <w:iCs/>
          <w:kern w:val="0"/>
        </w:rPr>
        <w:t>Mecelletu’l-Külliyyeti’l-İslâmiyyeti’l-Câmia</w:t>
      </w:r>
      <w:r w:rsidRPr="009D2C03">
        <w:rPr>
          <w:rFonts w:ascii="Times New Roman" w:hAnsi="Times New Roman" w:cs="Times New Roman"/>
          <w:kern w:val="0"/>
        </w:rPr>
        <w:t xml:space="preserve"> 73 (2023), 13-34. https://doi.org/10.51837/0827-000-073-001</w:t>
      </w:r>
    </w:p>
    <w:p w14:paraId="4EFA127B" w14:textId="77777777" w:rsidR="009D2C03" w:rsidRPr="009D2C03" w:rsidRDefault="009D2C03" w:rsidP="009D2C03">
      <w:pPr>
        <w:pStyle w:val="Kaynaka"/>
        <w:rPr>
          <w:rFonts w:ascii="Times New Roman" w:hAnsi="Times New Roman" w:cs="Times New Roman"/>
          <w:kern w:val="0"/>
        </w:rPr>
      </w:pPr>
      <w:r w:rsidRPr="009D2C03">
        <w:rPr>
          <w:rFonts w:ascii="Times New Roman" w:hAnsi="Times New Roman" w:cs="Times New Roman"/>
          <w:kern w:val="0"/>
        </w:rPr>
        <w:t xml:space="preserve">Şara’, Mâcide Mevlûd Ramadân eş-. “Ticâretu’l-kârim fi’l-usûri’l-vustâ”. </w:t>
      </w:r>
      <w:r w:rsidRPr="009D2C03">
        <w:rPr>
          <w:rFonts w:ascii="Times New Roman" w:hAnsi="Times New Roman" w:cs="Times New Roman"/>
          <w:i/>
          <w:iCs/>
          <w:kern w:val="0"/>
        </w:rPr>
        <w:t>Fikr ve İbdâ’</w:t>
      </w:r>
      <w:r w:rsidRPr="009D2C03">
        <w:rPr>
          <w:rFonts w:ascii="Times New Roman" w:hAnsi="Times New Roman" w:cs="Times New Roman"/>
          <w:kern w:val="0"/>
        </w:rPr>
        <w:t xml:space="preserve"> 103 (Ağustos 2016), 205-220.</w:t>
      </w:r>
    </w:p>
    <w:p w14:paraId="7182ED05" w14:textId="293D96F3" w:rsidR="0043341B" w:rsidRPr="0043341B" w:rsidRDefault="009D2C03" w:rsidP="008810F8">
      <w:pPr>
        <w:pStyle w:val="NormalWeb"/>
        <w:spacing w:line="360" w:lineRule="auto"/>
        <w:jc w:val="both"/>
        <w:rPr>
          <w:b/>
          <w:bCs/>
        </w:rPr>
      </w:pPr>
      <w:r>
        <w:rPr>
          <w:b/>
          <w:bCs/>
        </w:rPr>
        <w:fldChar w:fldCharType="end"/>
      </w:r>
    </w:p>
    <w:p w14:paraId="04AD0C1C" w14:textId="40831AA2" w:rsidR="00402D44" w:rsidRDefault="00402D44" w:rsidP="008810F8">
      <w:pPr>
        <w:pStyle w:val="NormalWeb"/>
        <w:jc w:val="both"/>
      </w:pPr>
    </w:p>
    <w:p w14:paraId="259C2854" w14:textId="77777777" w:rsidR="00402D44" w:rsidRPr="00C845C7" w:rsidRDefault="00402D44" w:rsidP="007B5FD6">
      <w:pPr>
        <w:pStyle w:val="NormalWeb"/>
        <w:spacing w:line="360" w:lineRule="auto"/>
        <w:jc w:val="both"/>
        <w:rPr>
          <w:b/>
          <w:bCs/>
          <w:rtl/>
        </w:rPr>
      </w:pPr>
    </w:p>
    <w:p w14:paraId="2ECC87D3" w14:textId="77777777" w:rsidR="007B5FD6" w:rsidRPr="007B5FD6" w:rsidRDefault="007B5FD6" w:rsidP="007B5FD6">
      <w:pPr>
        <w:pStyle w:val="NormalWeb"/>
        <w:spacing w:line="360" w:lineRule="auto"/>
        <w:jc w:val="both"/>
      </w:pPr>
    </w:p>
    <w:p w14:paraId="55B8758E" w14:textId="695AAB50" w:rsidR="007B5FD6" w:rsidRDefault="007B5FD6" w:rsidP="007B5FD6">
      <w:pPr>
        <w:pStyle w:val="NormalWeb"/>
      </w:pPr>
    </w:p>
    <w:p w14:paraId="6471A006" w14:textId="2082BCF4" w:rsidR="007B5FD6" w:rsidRDefault="007B5FD6" w:rsidP="007B5FD6">
      <w:pPr>
        <w:pStyle w:val="NormalWeb"/>
      </w:pPr>
    </w:p>
    <w:p w14:paraId="7B125BB3" w14:textId="7614F6F2" w:rsidR="007B5FD6" w:rsidRPr="007B5FD6" w:rsidRDefault="007B5FD6" w:rsidP="007B5FD6">
      <w:pPr>
        <w:pStyle w:val="NormalWeb"/>
      </w:pPr>
    </w:p>
    <w:p w14:paraId="3F430688" w14:textId="77777777" w:rsidR="007B5FD6" w:rsidRDefault="007B5FD6" w:rsidP="004126EB">
      <w:pPr>
        <w:pStyle w:val="NormalWeb"/>
        <w:spacing w:line="360" w:lineRule="auto"/>
        <w:jc w:val="both"/>
      </w:pPr>
    </w:p>
    <w:p w14:paraId="503D843C" w14:textId="77777777" w:rsidR="004126EB" w:rsidRPr="00891266" w:rsidRDefault="004126EB" w:rsidP="00891266">
      <w:pPr>
        <w:pStyle w:val="NormalWeb"/>
        <w:spacing w:line="360" w:lineRule="auto"/>
        <w:jc w:val="both"/>
      </w:pPr>
    </w:p>
    <w:p w14:paraId="2827421F" w14:textId="65E31FB9" w:rsidR="00891266" w:rsidRDefault="00891266" w:rsidP="00891266">
      <w:pPr>
        <w:pStyle w:val="NormalWeb"/>
      </w:pPr>
    </w:p>
    <w:p w14:paraId="1BE45092" w14:textId="05206E77" w:rsidR="00891266" w:rsidRDefault="00891266" w:rsidP="00891266">
      <w:pPr>
        <w:pStyle w:val="NormalWeb"/>
      </w:pPr>
    </w:p>
    <w:p w14:paraId="10534391" w14:textId="77777777" w:rsidR="00891266" w:rsidRPr="00066F5E" w:rsidRDefault="00891266" w:rsidP="003502FF">
      <w:pPr>
        <w:pStyle w:val="NormalWeb"/>
        <w:rPr>
          <w:b/>
          <w:bCs/>
          <w:sz w:val="28"/>
          <w:szCs w:val="28"/>
        </w:rPr>
      </w:pPr>
    </w:p>
    <w:p w14:paraId="550B0D71" w14:textId="77777777" w:rsidR="00E1538F" w:rsidRPr="003502FF" w:rsidRDefault="00E1538F" w:rsidP="003502FF">
      <w:pPr>
        <w:pStyle w:val="NormalWeb"/>
      </w:pPr>
    </w:p>
    <w:p w14:paraId="62A9B814" w14:textId="77777777" w:rsidR="00ED2891" w:rsidRDefault="00ED2891"/>
    <w:sectPr w:rsidR="00ED289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3686FB" w14:textId="77777777" w:rsidR="00AE18D5" w:rsidRDefault="00AE18D5" w:rsidP="00E1538F">
      <w:pPr>
        <w:spacing w:after="0" w:line="240" w:lineRule="auto"/>
      </w:pPr>
      <w:r>
        <w:separator/>
      </w:r>
    </w:p>
  </w:endnote>
  <w:endnote w:type="continuationSeparator" w:id="0">
    <w:p w14:paraId="6AED5556" w14:textId="77777777" w:rsidR="00AE18D5" w:rsidRDefault="00AE18D5" w:rsidP="00E153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230611" w14:textId="77777777" w:rsidR="00AE18D5" w:rsidRDefault="00AE18D5" w:rsidP="00E1538F">
      <w:pPr>
        <w:spacing w:after="0" w:line="240" w:lineRule="auto"/>
      </w:pPr>
      <w:r>
        <w:separator/>
      </w:r>
    </w:p>
  </w:footnote>
  <w:footnote w:type="continuationSeparator" w:id="0">
    <w:p w14:paraId="1C1EAA79" w14:textId="77777777" w:rsidR="00AE18D5" w:rsidRDefault="00AE18D5" w:rsidP="00E1538F">
      <w:pPr>
        <w:spacing w:after="0" w:line="240" w:lineRule="auto"/>
      </w:pPr>
      <w:r>
        <w:continuationSeparator/>
      </w:r>
    </w:p>
  </w:footnote>
  <w:footnote w:id="1">
    <w:p w14:paraId="63535140" w14:textId="34675E85" w:rsidR="005327FD" w:rsidRPr="005327FD" w:rsidRDefault="005327FD">
      <w:pPr>
        <w:pStyle w:val="DipnotMetni"/>
        <w:rPr>
          <w:lang w:val="en-US"/>
        </w:rPr>
      </w:pPr>
      <w:r>
        <w:rPr>
          <w:rStyle w:val="DipnotBavurusu"/>
        </w:rPr>
        <w:footnoteRef/>
      </w:r>
      <w:r>
        <w:t xml:space="preserve"> </w:t>
      </w:r>
      <w:r>
        <w:fldChar w:fldCharType="begin"/>
      </w:r>
      <w:r>
        <w:instrText xml:space="preserve"> ADDIN ZOTERO_ITEM CSL_CITATION {"citationID":"Pm8rPt82","properties":{"formattedCitation":"Abdurrahm\\uc0\\u226{}n b. Muhammed \\uc0\\u304{}bn Hald\\uc0\\u251{}n, {\\i{}el-Mukaddime} (Beyrut: D\\uc0\\u226{}ru\\uc0\\u8217{}l-Fikr, 1988), 297.","plainCitation":"Abdurrahmân b. Muhammed İbn Haldûn, el-Mukaddime (Beyrut: Dâru’l-Fikr, 1988), 297.","noteIndex":1},"citationItems":[{"id":343,"uris":["http://zotero.org/users/17128450/items/BM2JX59D"],"itemData":{"id":343,"type":"book","event-place":"Beyrut","publisher":"Dâru'l-Fikr","publisher-place":"Beyrut","title":"el-Mukaddime","author":[{"family":"İbn Haldûn","given":"Abdurrahmân b. Muhammed"}],"issued":{"date-parts":[["1988"]]}},"locator":"297","label":"page"}],"schema":"https://github.com/citation-style-language/schema/raw/master/csl-citation.json"} </w:instrText>
      </w:r>
      <w:r>
        <w:fldChar w:fldCharType="separate"/>
      </w:r>
      <w:r w:rsidRPr="005327FD">
        <w:rPr>
          <w:rFonts w:ascii="Calibri" w:hAnsi="Calibri" w:cs="Calibri"/>
          <w:kern w:val="0"/>
        </w:rPr>
        <w:t xml:space="preserve">Abdurrahmân b. Muhammed İbn Haldûn, </w:t>
      </w:r>
      <w:r w:rsidRPr="005327FD">
        <w:rPr>
          <w:rFonts w:ascii="Calibri" w:hAnsi="Calibri" w:cs="Calibri"/>
          <w:i/>
          <w:iCs/>
          <w:kern w:val="0"/>
        </w:rPr>
        <w:t>el-Mukaddime</w:t>
      </w:r>
      <w:r w:rsidRPr="005327FD">
        <w:rPr>
          <w:rFonts w:ascii="Calibri" w:hAnsi="Calibri" w:cs="Calibri"/>
          <w:kern w:val="0"/>
        </w:rPr>
        <w:t xml:space="preserve"> (Beyrut: Dâru’l-Fikr, 1988), 297.</w:t>
      </w:r>
      <w:r>
        <w:fldChar w:fldCharType="end"/>
      </w:r>
    </w:p>
  </w:footnote>
  <w:footnote w:id="2">
    <w:p w14:paraId="4DEC207B" w14:textId="46514591" w:rsidR="005327FD" w:rsidRPr="005327FD" w:rsidRDefault="005327FD">
      <w:pPr>
        <w:pStyle w:val="DipnotMetni"/>
        <w:rPr>
          <w:lang w:val="en-US"/>
        </w:rPr>
      </w:pPr>
      <w:r>
        <w:rPr>
          <w:rStyle w:val="DipnotBavurusu"/>
        </w:rPr>
        <w:footnoteRef/>
      </w:r>
      <w:r>
        <w:t xml:space="preserve"> </w:t>
      </w:r>
      <w:r>
        <w:fldChar w:fldCharType="begin"/>
      </w:r>
      <w:r>
        <w:instrText xml:space="preserve"> ADDIN ZOTERO_ITEM CSL_CITATION {"citationID":"1HpIXZBN","properties":{"formattedCitation":"Subh\\uc0\\u238{} Leb\\uc0\\u238{}b, \\uc0\\u8220{}Et-Ticc\\uc0\\u226{}ru\\uc0\\u8217{}l-K\\uc0\\u226{}rimiyye Ve Tic\\uc0\\u226{}retu Misr F\\uc0\\u238{}\\uc0\\u8217{}l-Us\\uc0\\u251{}ri\\uc0\\u8217{}l-Vust\\uc0\\u226{}\\uc0\\u8221{}, {\\i{}El-Manz\\uc0\\u251{}me} 4/2 (2019), 5.","plainCitation":"Subhî Lebîb, “Et-Ticcâru’l-Kârimiyye Ve Ticâretu Misr Fî’l-Usûri’l-Vustâ”, El-Manzûme 4/2 (2019), 5.","noteIndex":2},"citationItems":[{"id":337,"uris":["http://zotero.org/users/17128450/items/NJ6X5RCQ"],"itemData":{"id":337,"type":"article-journal","container-title":"El-Manzûme","issue":"2","page":"5-63","title":"Et-Ticcâru'l-Kârimiyye Ve Ticâretu Misr Fî'l-Usûri'l-Vustâ","volume":"4","author":[{"family":"Lebîb","given":"Subhî"}],"issued":{"date-parts":[["2019"]]}},"locator":"5"}],"schema":"https://github.com/citation-style-language/schema/raw/master/csl-citation.json"} </w:instrText>
      </w:r>
      <w:r>
        <w:fldChar w:fldCharType="separate"/>
      </w:r>
      <w:r w:rsidRPr="005327FD">
        <w:rPr>
          <w:rFonts w:ascii="Calibri" w:hAnsi="Calibri" w:cs="Calibri"/>
          <w:kern w:val="0"/>
        </w:rPr>
        <w:t xml:space="preserve">Subhî Lebîb, “Et-Ticcâru’l-Kârimiyye Ve Ticâretu Misr Fî’l-Usûri’l-Vustâ”, </w:t>
      </w:r>
      <w:r w:rsidRPr="005327FD">
        <w:rPr>
          <w:rFonts w:ascii="Calibri" w:hAnsi="Calibri" w:cs="Calibri"/>
          <w:i/>
          <w:iCs/>
          <w:kern w:val="0"/>
        </w:rPr>
        <w:t>El-Manzûme</w:t>
      </w:r>
      <w:r w:rsidRPr="005327FD">
        <w:rPr>
          <w:rFonts w:ascii="Calibri" w:hAnsi="Calibri" w:cs="Calibri"/>
          <w:kern w:val="0"/>
        </w:rPr>
        <w:t xml:space="preserve"> 4/2 (2019), 5.</w:t>
      </w:r>
      <w:r>
        <w:fldChar w:fldCharType="end"/>
      </w:r>
    </w:p>
  </w:footnote>
  <w:footnote w:id="3">
    <w:p w14:paraId="6897AFC1" w14:textId="5C6C78DA" w:rsidR="005327FD" w:rsidRPr="005327FD" w:rsidRDefault="005327FD">
      <w:pPr>
        <w:pStyle w:val="DipnotMetni"/>
        <w:rPr>
          <w:lang w:val="en-US"/>
        </w:rPr>
      </w:pPr>
      <w:r>
        <w:rPr>
          <w:rStyle w:val="DipnotBavurusu"/>
        </w:rPr>
        <w:footnoteRef/>
      </w:r>
      <w:r>
        <w:t xml:space="preserve"> </w:t>
      </w:r>
      <w:r>
        <w:fldChar w:fldCharType="begin"/>
      </w:r>
      <w:r>
        <w:instrText xml:space="preserve"> ADDIN ZOTERO_ITEM CSL_CITATION {"citationID":"jRMmDRNI","properties":{"formattedCitation":"Y\\uc0\\u226{}sir el-Me\\uc0\\u351{}hed\\uc0\\u226{}n\\uc0\\u238{}, \\uc0\\u8220{}Ru\\uc0\\u8217{}ye Ced\\uc0\\u238{}de F\\uc0\\u238{} Us\\uc0\\u251{}li\\uc0\\u8217{}t-Tic\\uc0\\u226{}reti\\uc0\\u8217{}l-K\\uc0\\u226{}rimiyye\\uc0\\u8221{}, {\\i{}Havliyyetu\\uc0\\u8217{}l-Munted\\uc0\\u226{} Li\\uc0\\u8217{}d-Dir\\uc0\\u226{}s\\uc0\\u226{}ti\\uc0\\u8217{}l-Ins\\uc0\\u226{}niyye} 39 (Temmuz 2019), 172-175.","plainCitation":"Yâsir el-Meşhedânî, “Ru’ye Cedîde Fî Usûli’t-Ticâreti’l-Kârimiyye”, Havliyyetu’l-Muntedâ Li’d-Dirâsâti’l-Insâniyye 39 (Temmuz 2019), 172-175.","noteIndex":3},"citationItems":[{"id":339,"uris":["http://zotero.org/users/17128450/items/7AN8WKU9"],"itemData":{"id":339,"type":"article-journal","container-title":"Havliyyetu'l-Muntedâ Li'd-Dirâsâti'l-Insâniyye","DOI":"10.35519/0828-000-039-007","event-place":"Irak","ISSN":"1998-0841","page":"167–202","publisher":"el-Muntedâ'l-vatanî li-ebhâsi'l-fikr ve's-sekâfe","publisher-place":"Irak","source":"El-Manzûme","title":"Ru'ye Cedîde Fî Usûli't-Ticâreti'l-Kârimiyye","volume":"39","author":[{"family":"Meşhedânî","given":"Yâsir","non-dropping-particle":"el-"}],"issued":{"date-parts":[["2019",7]]}},"locator":"172-175"}],"schema":"https://github.com/citation-style-language/schema/raw/master/csl-citation.json"} </w:instrText>
      </w:r>
      <w:r>
        <w:fldChar w:fldCharType="separate"/>
      </w:r>
      <w:r w:rsidRPr="005327FD">
        <w:rPr>
          <w:rFonts w:ascii="Calibri" w:hAnsi="Calibri" w:cs="Calibri"/>
          <w:kern w:val="0"/>
        </w:rPr>
        <w:t xml:space="preserve">Yâsir el-Meşhedânî, “Ru’ye Cedîde Fî Usûli’t-Ticâreti’l-Kârimiyye”, </w:t>
      </w:r>
      <w:r w:rsidRPr="005327FD">
        <w:rPr>
          <w:rFonts w:ascii="Calibri" w:hAnsi="Calibri" w:cs="Calibri"/>
          <w:i/>
          <w:iCs/>
          <w:kern w:val="0"/>
        </w:rPr>
        <w:t>Havliyyetu’l-Muntedâ Li’d-Dirâsâti’l-Insâniyye</w:t>
      </w:r>
      <w:r w:rsidRPr="005327FD">
        <w:rPr>
          <w:rFonts w:ascii="Calibri" w:hAnsi="Calibri" w:cs="Calibri"/>
          <w:kern w:val="0"/>
        </w:rPr>
        <w:t xml:space="preserve"> 39 (Temmuz 2019), 172-175.</w:t>
      </w:r>
      <w:r>
        <w:fldChar w:fldCharType="end"/>
      </w:r>
    </w:p>
  </w:footnote>
  <w:footnote w:id="4">
    <w:p w14:paraId="4D177B84" w14:textId="346F7B04" w:rsidR="005327FD" w:rsidRPr="005327FD" w:rsidRDefault="005327FD">
      <w:pPr>
        <w:pStyle w:val="DipnotMetni"/>
        <w:rPr>
          <w:lang w:val="en-US"/>
        </w:rPr>
      </w:pPr>
      <w:r>
        <w:rPr>
          <w:rStyle w:val="DipnotBavurusu"/>
        </w:rPr>
        <w:footnoteRef/>
      </w:r>
      <w:r>
        <w:t xml:space="preserve"> </w:t>
      </w:r>
      <w:r>
        <w:fldChar w:fldCharType="begin"/>
      </w:r>
      <w:r>
        <w:instrText xml:space="preserve"> ADDIN ZOTERO_ITEM CSL_CITATION {"citationID":"waay17pX","properties":{"formattedCitation":"Ahmed Hutayt, \\uc0\\u8220{}Et-Tic\\uc0\\u226{}retu\\uc0\\u8217{}l-K\\uc0\\u226{}rimiyye Ve\\uc0\\u8217{}l-K\\uc0\\u226{}rim F\\uc0\\u238{} Asri\\uc0\\u8217{}l-Mem\\uc0\\u226{}l\\uc0\\u238{}k: \\uc0\\u304{}sh\\uc0\\u226{}m F\\uc0\\u238{} Dir\\uc0\\u226{}seti T\\uc0\\u226{}r\\uc0\\u238{}hi\\uc0\\u8217{}l-Iktis\\uc0\\u226{}di\\uc0\\u8217{}l-\\uc0\\u304{}sl\\uc0\\u226{}mi\\uc0\\u8217{}l-Vas\\uc0\\u238{}t\\uc0\\u8221{}, {\\i{}El-Fikru\\uc0\\u8217{}l-Arab\\uc0\\u238{}} 9/54 (1988), 170.","plainCitation":"Ahmed Hutayt, “Et-Ticâretu’l-Kârimiyye Ve’l-Kârim Fî Asri’l-Memâlîk: İshâm Fî Dirâseti Târîhi’l-Iktisâdi’l-İslâmi’l-Vasît”, El-Fikru’l-Arabî 9/54 (1988), 170.","noteIndex":4},"citationItems":[{"id":341,"uris":["http://zotero.org/users/17128450/items/FSBUBP3S"],"itemData":{"id":341,"type":"article-journal","container-title":"El-Fikru'l-Arabî","issue":"54","page":"170–183","publisher":"Ma'hedu'l-İnmâi'l-Arabî","title":"Et-Ticâretu'l-Kârimiyye Ve'l-Kârim Fî Asri'l-Memâlîk: İshâm Fî Dirâseti Târîhi'l-Iktisâdi'l-İslâmi'l-Vasît","volume":"9","author":[{"family":"Hutayt","given":"Ahmed"}],"issued":{"date-parts":[["1988"]]}},"locator":"170"}],"schema":"https://github.com/citation-style-language/schema/raw/master/csl-citation.json"} </w:instrText>
      </w:r>
      <w:r>
        <w:fldChar w:fldCharType="separate"/>
      </w:r>
      <w:r w:rsidRPr="005327FD">
        <w:rPr>
          <w:rFonts w:ascii="Calibri" w:hAnsi="Calibri" w:cs="Calibri"/>
          <w:kern w:val="0"/>
        </w:rPr>
        <w:t xml:space="preserve">Ahmed Hutayt, “Et-Ticâretu’l-Kârimiyye Ve’l-Kârim Fî Asri’l-Memâlîk: İshâm Fî Dirâseti Târîhi’l-Iktisâdi’l-İslâmi’l-Vasît”, </w:t>
      </w:r>
      <w:r w:rsidRPr="005327FD">
        <w:rPr>
          <w:rFonts w:ascii="Calibri" w:hAnsi="Calibri" w:cs="Calibri"/>
          <w:i/>
          <w:iCs/>
          <w:kern w:val="0"/>
        </w:rPr>
        <w:t>El-Fikru’l-Arabî</w:t>
      </w:r>
      <w:r w:rsidRPr="005327FD">
        <w:rPr>
          <w:rFonts w:ascii="Calibri" w:hAnsi="Calibri" w:cs="Calibri"/>
          <w:kern w:val="0"/>
        </w:rPr>
        <w:t xml:space="preserve"> 9/54 (1988), 170.</w:t>
      </w:r>
      <w:r>
        <w:fldChar w:fldCharType="end"/>
      </w:r>
    </w:p>
  </w:footnote>
  <w:footnote w:id="5">
    <w:p w14:paraId="3021D422" w14:textId="6DA713F4" w:rsidR="005327FD" w:rsidRPr="005327FD" w:rsidRDefault="005327FD">
      <w:pPr>
        <w:pStyle w:val="DipnotMetni"/>
        <w:rPr>
          <w:lang w:val="en-US"/>
        </w:rPr>
      </w:pPr>
      <w:r>
        <w:rPr>
          <w:rStyle w:val="DipnotBavurusu"/>
        </w:rPr>
        <w:footnoteRef/>
      </w:r>
      <w:r>
        <w:t xml:space="preserve"> </w:t>
      </w:r>
      <w:r>
        <w:fldChar w:fldCharType="begin"/>
      </w:r>
      <w:r>
        <w:instrText xml:space="preserve"> ADDIN ZOTERO_ITEM CSL_CITATION {"citationID":"Xy0VT2Fa","properties":{"formattedCitation":"el-Me\\uc0\\u351{}hed\\uc0\\u226{}n\\uc0\\u238{}, \\uc0\\u8220{}Ru\\uc0\\u8217{}ye Ced\\uc0\\u238{}de F\\uc0\\u238{} Us\\uc0\\u251{}li\\uc0\\u8217{}t-Tic\\uc0\\u226{}reti\\uc0\\u8217{}l-K\\uc0\\u226{}rimiyye\\uc0\\u8221{}, 170-171.","plainCitation":"el-Meşhedânî, “Ru’ye Cedîde Fî Usûli’t-Ticâreti’l-Kârimiyye”, 170-171.","noteIndex":5},"citationItems":[{"id":339,"uris":["http://zotero.org/users/17128450/items/7AN8WKU9"],"itemData":{"id":339,"type":"article-journal","container-title":"Havliyyetu'l-Muntedâ Li'd-Dirâsâti'l-Insâniyye","DOI":"10.35519/0828-000-039-007","event-place":"Irak","ISSN":"1998-0841","page":"167–202","publisher":"el-Muntedâ'l-vatanî li-ebhâsi'l-fikr ve's-sekâfe","publisher-place":"Irak","source":"El-Manzûme","title":"Ru'ye Cedîde Fî Usûli't-Ticâreti'l-Kârimiyye","volume":"39","author":[{"family":"Meşhedânî","given":"Yâsir","non-dropping-particle":"el-"}],"issued":{"date-parts":[["2019",7]]}},"locator":"170-171"}],"schema":"https://github.com/citation-style-language/schema/raw/master/csl-citation.json"} </w:instrText>
      </w:r>
      <w:r>
        <w:fldChar w:fldCharType="separate"/>
      </w:r>
      <w:r w:rsidRPr="005327FD">
        <w:rPr>
          <w:rFonts w:ascii="Calibri" w:hAnsi="Calibri" w:cs="Calibri"/>
          <w:kern w:val="0"/>
        </w:rPr>
        <w:t>el-Meşhedânî, “Ru’ye Cedîde Fî Usûli’t-Ticâreti’l-Kârimiyye”, 170-171.</w:t>
      </w:r>
      <w:r>
        <w:fldChar w:fldCharType="end"/>
      </w:r>
    </w:p>
  </w:footnote>
  <w:footnote w:id="6">
    <w:p w14:paraId="1B1B0391" w14:textId="06F5FED0" w:rsidR="00891266" w:rsidRPr="00891266" w:rsidRDefault="00891266">
      <w:pPr>
        <w:pStyle w:val="DipnotMetni"/>
        <w:rPr>
          <w:lang w:val="en-US"/>
        </w:rPr>
      </w:pPr>
      <w:r>
        <w:rPr>
          <w:rStyle w:val="DipnotBavurusu"/>
        </w:rPr>
        <w:footnoteRef/>
      </w:r>
      <w:r>
        <w:t xml:space="preserve"> </w:t>
      </w:r>
      <w:r>
        <w:fldChar w:fldCharType="begin"/>
      </w:r>
      <w:r>
        <w:instrText xml:space="preserve"> ADDIN ZOTERO_ITEM CSL_CITATION {"citationID":"VVyg1lpF","properties":{"formattedCitation":"M\\uc0\\u226{}cide Mevl\\uc0\\u251{}d Ramad\\uc0\\u226{}n e\\uc0\\u351{}-\\uc0\\u350{}ara\\uc0\\u8217{}, \\uc0\\u8220{}Tic\\uc0\\u226{}retu\\uc0\\u8217{}l-k\\uc0\\u226{}rim fi\\uc0\\u8217{}l-us\\uc0\\u251{}ri\\uc0\\u8217{}l-vust\\uc0\\u226{}\\uc0\\u8221{}, {\\i{}Fikr ve \\uc0\\u304{}bd\\uc0\\u226{}\\uc0\\u8217{}} 103 (A\\uc0\\u287{}ustos 2016), 207.","plainCitation":"Mâcide Mevlûd Ramadân eş-Şara’, “Ticâretu’l-kârim fi’l-usûri’l-vustâ”, Fikr ve İbdâ’ 103 (Ağustos 2016), 207.","noteIndex":6},"citationItems":[{"id":347,"uris":["http://zotero.org/users/17128450/items/K4RBT3VA"],"itemData":{"id":347,"type":"article-journal","container-title":"Fikr ve İbdâ’","event-place":"Mısır","page":"205–220","publisher":"Râbitatu'l-Edebi'l-Hadîs","publisher-place":"Mısır","source":"El-Manzûme","title":"Ticâretu'l-kârim fi'l-usûri'l-vustâ","volume":"103","author":[{"family":"Şara’","given":"Mâcide Mevlûd Ramadân","non-dropping-particle":"eş-"}],"issued":{"date-parts":[["2016",8]]}},"locator":"207"}],"schema":"https://github.com/citation-style-language/schema/raw/master/csl-citation.json"} </w:instrText>
      </w:r>
      <w:r>
        <w:fldChar w:fldCharType="separate"/>
      </w:r>
      <w:r w:rsidRPr="00891266">
        <w:rPr>
          <w:rFonts w:ascii="Calibri" w:hAnsi="Calibri" w:cs="Calibri"/>
          <w:kern w:val="0"/>
        </w:rPr>
        <w:t xml:space="preserve">Mâcide Mevlûd Ramadân eş-Şara’, “Ticâretu’l-kârim fi’l-usûri’l-vustâ”, </w:t>
      </w:r>
      <w:r w:rsidRPr="00891266">
        <w:rPr>
          <w:rFonts w:ascii="Calibri" w:hAnsi="Calibri" w:cs="Calibri"/>
          <w:i/>
          <w:iCs/>
          <w:kern w:val="0"/>
        </w:rPr>
        <w:t>Fikr ve İbdâ’</w:t>
      </w:r>
      <w:r w:rsidRPr="00891266">
        <w:rPr>
          <w:rFonts w:ascii="Calibri" w:hAnsi="Calibri" w:cs="Calibri"/>
          <w:kern w:val="0"/>
        </w:rPr>
        <w:t xml:space="preserve"> 103 (Ağustos 2016), 207.</w:t>
      </w:r>
      <w:r>
        <w:fldChar w:fldCharType="end"/>
      </w:r>
    </w:p>
  </w:footnote>
  <w:footnote w:id="7">
    <w:p w14:paraId="149A2D19" w14:textId="06CAA3A5" w:rsidR="00891266" w:rsidRPr="00891266" w:rsidRDefault="00891266">
      <w:pPr>
        <w:pStyle w:val="DipnotMetni"/>
        <w:rPr>
          <w:lang w:val="en-US"/>
        </w:rPr>
      </w:pPr>
      <w:r>
        <w:rPr>
          <w:rStyle w:val="DipnotBavurusu"/>
        </w:rPr>
        <w:footnoteRef/>
      </w:r>
      <w:r>
        <w:t xml:space="preserve"> </w:t>
      </w:r>
      <w:r>
        <w:fldChar w:fldCharType="begin"/>
      </w:r>
      <w:r>
        <w:instrText xml:space="preserve"> ADDIN ZOTERO_ITEM CSL_CITATION {"citationID":"JEYayaIt","properties":{"formattedCitation":"e\\uc0\\u351{}-\\uc0\\u350{}ara\\uc0\\u8217{}, \\uc0\\u8220{}Tic\\uc0\\u226{}retu\\uc0\\u8217{}l-k\\uc0\\u226{}rim fi\\uc0\\u8217{}l-us\\uc0\\u251{}ri\\uc0\\u8217{}l-vust\\uc0\\u226{}\\uc0\\u8221{}, 208.","plainCitation":"eş-Şara’, “Ticâretu’l-kârim fi’l-usûri’l-vustâ”, 208.","noteIndex":7},"citationItems":[{"id":347,"uris":["http://zotero.org/users/17128450/items/K4RBT3VA"],"itemData":{"id":347,"type":"article-journal","container-title":"Fikr ve İbdâ’","event-place":"Mısır","page":"205–220","publisher":"Râbitatu'l-Edebi'l-Hadîs","publisher-place":"Mısır","source":"El-Manzûme","title":"Ticâretu'l-kârim fi'l-usûri'l-vustâ","volume":"103","author":[{"family":"Şara’","given":"Mâcide Mevlûd Ramadân","non-dropping-particle":"eş-"}],"issued":{"date-parts":[["2016",8]]}},"locator":"208"}],"schema":"https://github.com/citation-style-language/schema/raw/master/csl-citation.json"} </w:instrText>
      </w:r>
      <w:r>
        <w:fldChar w:fldCharType="separate"/>
      </w:r>
      <w:r w:rsidRPr="00891266">
        <w:rPr>
          <w:rFonts w:ascii="Calibri" w:hAnsi="Calibri" w:cs="Calibri"/>
          <w:kern w:val="0"/>
        </w:rPr>
        <w:t>eş-Şara’, “Ticâretu’l-kârim fi’l-usûri’l-vustâ”, 208.</w:t>
      </w:r>
      <w:r>
        <w:fldChar w:fldCharType="end"/>
      </w:r>
    </w:p>
  </w:footnote>
  <w:footnote w:id="8">
    <w:p w14:paraId="22E58470" w14:textId="11D6B6F7" w:rsidR="004126EB" w:rsidRPr="004126EB" w:rsidRDefault="004126EB">
      <w:pPr>
        <w:pStyle w:val="DipnotMetni"/>
        <w:rPr>
          <w:lang w:val="en-US"/>
        </w:rPr>
      </w:pPr>
      <w:r>
        <w:rPr>
          <w:rStyle w:val="DipnotBavurusu"/>
        </w:rPr>
        <w:footnoteRef/>
      </w:r>
      <w:r>
        <w:t xml:space="preserve"> </w:t>
      </w:r>
      <w:r>
        <w:fldChar w:fldCharType="begin"/>
      </w:r>
      <w:r>
        <w:instrText xml:space="preserve"> ADDIN ZOTERO_ITEM CSL_CITATION {"citationID":"Q6p6mD5V","properties":{"formattedCitation":"e\\uc0\\u351{}-\\uc0\\u350{}ara\\uc0\\u8217{}, \\uc0\\u8220{}Tic\\uc0\\u226{}retu\\uc0\\u8217{}l-k\\uc0\\u226{}rim fi\\uc0\\u8217{}l-us\\uc0\\u251{}ri\\uc0\\u8217{}l-vust\\uc0\\u226{}\\uc0\\u8221{}, 208.","plainCitation":"eş-Şara’, “Ticâretu’l-kârim fi’l-usûri’l-vustâ”, 208.","noteIndex":8},"citationItems":[{"id":347,"uris":["http://zotero.org/users/17128450/items/K4RBT3VA"],"itemData":{"id":347,"type":"article-journal","container-title":"Fikr ve İbdâ’","event-place":"Mısır","page":"205–220","publisher":"Râbitatu'l-Edebi'l-Hadîs","publisher-place":"Mısır","source":"El-Manzûme","title":"Ticâretu'l-kârim fi'l-usûri'l-vustâ","volume":"103","author":[{"family":"Şara’","given":"Mâcide Mevlûd Ramadân","non-dropping-particle":"eş-"}],"issued":{"date-parts":[["2016",8]]}},"locator":"208"}],"schema":"https://github.com/citation-style-language/schema/raw/master/csl-citation.json"} </w:instrText>
      </w:r>
      <w:r>
        <w:fldChar w:fldCharType="separate"/>
      </w:r>
      <w:r w:rsidRPr="004126EB">
        <w:rPr>
          <w:rFonts w:ascii="Calibri" w:hAnsi="Calibri" w:cs="Calibri"/>
          <w:kern w:val="0"/>
        </w:rPr>
        <w:t>eş-Şara’, “Ticâretu’l-kârim fi’l-usûri’l-vustâ”, 208.</w:t>
      </w:r>
      <w:r>
        <w:fldChar w:fldCharType="end"/>
      </w:r>
    </w:p>
  </w:footnote>
  <w:footnote w:id="9">
    <w:p w14:paraId="23124809" w14:textId="77777777" w:rsidR="00A55E0F" w:rsidRDefault="00A55E0F" w:rsidP="00A55E0F">
      <w:pPr>
        <w:pStyle w:val="DipnotMetni"/>
      </w:pPr>
      <w:r>
        <w:rPr>
          <w:rStyle w:val="DipnotBavurusu"/>
        </w:rPr>
        <w:footnoteRef/>
      </w:r>
      <w:r>
        <w:t xml:space="preserve"> </w:t>
      </w:r>
      <w:r>
        <w:fldChar w:fldCharType="begin"/>
      </w:r>
      <w:r>
        <w:instrText xml:space="preserve"> ADDIN ZOTERO_ITEM CSL_CITATION {"citationID":"LhkPzV6C","properties":{"formattedCitation":"Leb\\uc0\\u238{}b, \\uc0\\u8220{}Et-Ticc\\uc0\\u226{}ru\\uc0\\u8217{}l-K\\uc0\\u226{}rimiyye Ve Tic\\uc0\\u226{}retu Misr F\\uc0\\u238{}\\uc0\\u8217{}l-Us\\uc0\\u251{}ri\\uc0\\u8217{}l-Vust\\uc0\\u226{}\\uc0\\u8221{}, 12.","plainCitation":"Lebîb, “Et-Ticcâru’l-Kârimiyye Ve Ticâretu Misr Fî’l-Usûri’l-Vustâ”, 12.","noteIndex":9},"citationItems":[{"id":337,"uris":["http://zotero.org/users/17128450/items/NJ6X5RCQ"],"itemData":{"id":337,"type":"article-journal","container-title":"El-Manzûme","issue":"2","page":"5-63","title":"Et-Ticcâru'l-Kârimiyye Ve Ticâretu Misr Fî'l-Usûri'l-Vustâ","volume":"4","author":[{"family":"Lebîb","given":"Subhî"}],"issued":{"date-parts":[["2019"]]}},"locator":"12"}],"schema":"https://github.com/citation-style-language/schema/raw/master/csl-citation.json"} </w:instrText>
      </w:r>
      <w:r>
        <w:fldChar w:fldCharType="separate"/>
      </w:r>
      <w:r w:rsidRPr="005B32B9">
        <w:rPr>
          <w:rFonts w:ascii="Calibri" w:hAnsi="Calibri" w:cs="Calibri"/>
          <w:kern w:val="0"/>
        </w:rPr>
        <w:t>Lebîb, “Et-Ticcâru’l-Kârimiyye Ve Ticâretu Misr Fî’l-Usûri’l-Vustâ”, 12.</w:t>
      </w:r>
      <w:r>
        <w:fldChar w:fldCharType="end"/>
      </w:r>
    </w:p>
  </w:footnote>
  <w:footnote w:id="10">
    <w:p w14:paraId="0F6242FC" w14:textId="77777777" w:rsidR="00A55E0F" w:rsidRPr="005B32B9" w:rsidRDefault="00A55E0F" w:rsidP="00A55E0F">
      <w:pPr>
        <w:pStyle w:val="DipnotMetni"/>
      </w:pPr>
      <w:r>
        <w:rPr>
          <w:rStyle w:val="DipnotBavurusu"/>
        </w:rPr>
        <w:footnoteRef/>
      </w:r>
      <w:r>
        <w:t xml:space="preserve"> </w:t>
      </w:r>
      <w:r>
        <w:fldChar w:fldCharType="begin"/>
      </w:r>
      <w:r>
        <w:instrText xml:space="preserve"> ADDIN ZOTERO_ITEM CSL_CITATION {"citationID":"QijUYD3a","properties":{"formattedCitation":"e\\uc0\\u351{}-\\uc0\\u350{}ara\\uc0\\u8217{}, \\uc0\\u8220{}Tic\\uc0\\u226{}retu\\uc0\\u8217{}l-k\\uc0\\u226{}rim fi\\uc0\\u8217{}l-us\\uc0\\u251{}ri\\uc0\\u8217{}l-vust\\uc0\\u226{}\\uc0\\u8221{}, 209.","plainCitation":"eş-Şara’, “Ticâretu’l-kârim fi’l-usûri’l-vustâ”, 209.","noteIndex":10},"citationItems":[{"id":347,"uris":["http://zotero.org/users/17128450/items/K4RBT3VA"],"itemData":{"id":347,"type":"article-journal","container-title":"Fikr ve İbdâ’","event-place":"Mısır","page":"205–220","publisher":"Râbitatu'l-Edebi'l-Hadîs","publisher-place":"Mısır","source":"El-Manzûme","title":"Ticâretu'l-kârim fi'l-usûri'l-vustâ","volume":"103","author":[{"family":"Şara’","given":"Mâcide Mevlûd Ramadân","non-dropping-particle":"eş-"}],"issued":{"date-parts":[["2016",8]]}},"locator":"209"}],"schema":"https://github.com/citation-style-language/schema/raw/master/csl-citation.json"} </w:instrText>
      </w:r>
      <w:r>
        <w:fldChar w:fldCharType="separate"/>
      </w:r>
      <w:r w:rsidRPr="004126EB">
        <w:rPr>
          <w:rFonts w:ascii="Calibri" w:hAnsi="Calibri" w:cs="Calibri"/>
          <w:kern w:val="0"/>
        </w:rPr>
        <w:t>eş-Şara’, “Ticâretu’l-kârim fi’l-usûri’l-vustâ”, 209.</w:t>
      </w:r>
      <w:r>
        <w:fldChar w:fldCharType="end"/>
      </w:r>
    </w:p>
  </w:footnote>
  <w:footnote w:id="11">
    <w:p w14:paraId="5DABD8BF" w14:textId="3D615451" w:rsidR="00C83771" w:rsidRDefault="00C83771">
      <w:pPr>
        <w:pStyle w:val="DipnotMetni"/>
        <w:rPr>
          <w:rtl/>
          <w:lang w:bidi="ar-JO"/>
        </w:rPr>
      </w:pPr>
      <w:r>
        <w:rPr>
          <w:rStyle w:val="DipnotBavurusu"/>
        </w:rPr>
        <w:footnoteRef/>
      </w:r>
      <w:r>
        <w:t xml:space="preserve"> </w:t>
      </w:r>
      <w:r>
        <w:fldChar w:fldCharType="begin"/>
      </w:r>
      <w:r w:rsidR="005B32B9">
        <w:instrText xml:space="preserve"> ADDIN ZOTERO_ITEM CSL_CITATION {"citationID":"mJkcR4H4","properties":{"formattedCitation":"Bahattin Kele\\uc0\\u351{}, \\uc0\\u8220{}Meml\\uc0\\u252{}kler D\\uc0\\u246{}nemi\\uc0\\u775{}nde K\\uc0\\u226{}ri\\uc0\\u775{}m\\uc0\\u238{} T\\uc0\\u252{}ccarlarinin Uluslarasi Ti\\uc0\\u775{}caretteki\\uc0\\u775{} Yeri\\uc0\\u775{} Ve \\uc0\\u214{}nemi\\uc0\\u775{}*\\uc0\\u8221{}, {\\i{}T\\uc0\\u252{}rk \\uc0\\u304{}sl\\uc0\\u226{}m Medeniyeti Akademik Ara\\uc0\\u351{}t\\uc0\\u305{}rmalar Dergisi}, (ts.), 87.","plainCitation":"Bahattin Keleş, “Memlükler Dönemi̇nde Kâri̇mî Tüccarlarinin Uluslarasi Ti̇caretteki̇ Yeri̇ Ve Önemi̇*”, Türk İslâm Medeniyeti Akademik Araştırmalar Dergisi, (ts.), 87.","noteIndex":11},"citationItems":[{"id":351,"uris":["http://zotero.org/users/17128450/items/FQE64FKZ"],"itemData":{"id":351,"type":"article-journal","container-title":"Türk İslâm Medeniyeti Akademik Araştırmalar Dergisi","DOI":"http://dx.doi.org/10.7827/TurkishStudies.12506","source":"dergipark.org.tr","title":"Memlükler Dönemi̇nde Kâri̇mî Tüccarlarinin Uluslarasi Ti̇caretteki̇ Yeri̇ Ve Önemi̇*","author":[{"family":"Keleş","given":"Bahattin"}]},"locator":"87"}],"schema":"https://github.com/citation-style-language/schema/raw/master/csl-citation.json"} </w:instrText>
      </w:r>
      <w:r>
        <w:fldChar w:fldCharType="separate"/>
      </w:r>
      <w:r w:rsidRPr="00C83771">
        <w:rPr>
          <w:rFonts w:ascii="Calibri" w:hAnsi="Calibri" w:cs="Calibri"/>
          <w:kern w:val="0"/>
        </w:rPr>
        <w:t xml:space="preserve">Bahattin Keleş, “Memlükler Dönemi̇nde Kâri̇mî Tüccarlarinin Uluslarasi Ti̇caretteki̇ Yeri̇ Ve Önemi̇*”, </w:t>
      </w:r>
      <w:r w:rsidRPr="00C83771">
        <w:rPr>
          <w:rFonts w:ascii="Calibri" w:hAnsi="Calibri" w:cs="Calibri"/>
          <w:i/>
          <w:iCs/>
          <w:kern w:val="0"/>
        </w:rPr>
        <w:t>Türk İslâm Medeniyeti Akademik Araştırmalar Dergisi</w:t>
      </w:r>
      <w:r w:rsidRPr="00C83771">
        <w:rPr>
          <w:rFonts w:ascii="Calibri" w:hAnsi="Calibri" w:cs="Calibri"/>
          <w:kern w:val="0"/>
        </w:rPr>
        <w:t>, (ts.), 87.</w:t>
      </w:r>
      <w:r>
        <w:fldChar w:fldCharType="end"/>
      </w:r>
    </w:p>
  </w:footnote>
  <w:footnote w:id="12">
    <w:p w14:paraId="4C641BB0" w14:textId="10CB8081" w:rsidR="00C83771" w:rsidRDefault="00C83771" w:rsidP="00C83771">
      <w:pPr>
        <w:pStyle w:val="DipnotMetni"/>
        <w:rPr>
          <w:rtl/>
          <w:lang w:bidi="ar-JO"/>
        </w:rPr>
      </w:pPr>
      <w:r>
        <w:rPr>
          <w:rStyle w:val="DipnotBavurusu"/>
        </w:rPr>
        <w:footnoteRef/>
      </w:r>
      <w:r>
        <w:t xml:space="preserve"> </w:t>
      </w:r>
      <w:r>
        <w:fldChar w:fldCharType="begin"/>
      </w:r>
      <w:r w:rsidR="005B32B9">
        <w:instrText xml:space="preserve"> ADDIN ZOTERO_ITEM CSL_CITATION {"citationID":"DoUxMsE9","properties":{"formattedCitation":"Kele\\uc0\\u351{}, \\uc0\\u8220{}Meml\\uc0\\u252{}kler D\\uc0\\u246{}nemi\\uc0\\u775{}nde K\\uc0\\u226{}ri\\uc0\\u775{}m\\uc0\\u238{} T\\uc0\\u252{}ccarlarinin Uluslarasi Ti\\uc0\\u775{}caretteki\\uc0\\u775{} Yeri\\uc0\\u775{} Ve \\uc0\\u214{}nemi\\uc0\\u775{}*\\uc0\\u8221{}, 87.","plainCitation":"Keleş, “Memlükler Dönemi̇nde Kâri̇mî Tüccarlarinin Uluslarasi Ti̇caretteki̇ Yeri̇ Ve Önemi̇*”, 87.","noteIndex":12},"citationItems":[{"id":351,"uris":["http://zotero.org/users/17128450/items/FQE64FKZ"],"itemData":{"id":351,"type":"article-journal","container-title":"Türk İslâm Medeniyeti Akademik Araştırmalar Dergisi","DOI":"http://dx.doi.org/10.7827/TurkishStudies.12506","source":"dergipark.org.tr","title":"Memlükler Dönemi̇nde Kâri̇mî Tüccarlarinin Uluslarasi Ti̇caretteki̇ Yeri̇ Ve Önemi̇*","author":[{"family":"Keleş","given":"Bahattin"}]},"locator":"87"}],"schema":"https://github.com/citation-style-language/schema/raw/master/csl-citation.json"} </w:instrText>
      </w:r>
      <w:r>
        <w:fldChar w:fldCharType="separate"/>
      </w:r>
      <w:r w:rsidRPr="00C83771">
        <w:rPr>
          <w:rFonts w:ascii="Calibri" w:hAnsi="Calibri" w:cs="Calibri"/>
          <w:kern w:val="0"/>
        </w:rPr>
        <w:t>Keleş, “Memlükler Dönemi̇nde Kâri̇mî Tüccarlarinin Uluslarasi Ti̇caretteki̇ Yeri̇ Ve Önemi̇*”, 87.</w:t>
      </w:r>
      <w:r>
        <w:fldChar w:fldCharType="end"/>
      </w:r>
    </w:p>
  </w:footnote>
  <w:footnote w:id="13">
    <w:p w14:paraId="77BC89BD" w14:textId="77777777" w:rsidR="00D0287E" w:rsidRDefault="00D0287E" w:rsidP="00D0287E">
      <w:pPr>
        <w:pStyle w:val="DipnotMetni"/>
        <w:rPr>
          <w:rtl/>
          <w:lang w:bidi="ar-JO"/>
        </w:rPr>
      </w:pPr>
      <w:r>
        <w:rPr>
          <w:rStyle w:val="DipnotBavurusu"/>
        </w:rPr>
        <w:footnoteRef/>
      </w:r>
      <w:r>
        <w:t xml:space="preserve"> </w:t>
      </w:r>
      <w:r>
        <w:fldChar w:fldCharType="begin"/>
      </w:r>
      <w:r>
        <w:instrText xml:space="preserve"> ADDIN ZOTERO_ITEM CSL_CITATION {"citationID":"IUfVc6Pj","properties":{"formattedCitation":"Hutayt, \\uc0\\u8220{}Et-Tic\\uc0\\u226{}retu\\uc0\\u8217{}l-K\\uc0\\u226{}rimiyye Ve\\uc0\\u8217{}l-K\\uc0\\u226{}rim F\\uc0\\u238{} Asri\\uc0\\u8217{}l-Mem\\uc0\\u226{}l\\uc0\\u238{}k: \\uc0\\u304{}sh\\uc0\\u226{}m F\\uc0\\u238{} Dir\\uc0\\u226{}seti T\\uc0\\u226{}r\\uc0\\u238{}hi\\uc0\\u8217{}l-Iktis\\uc0\\u226{}di\\uc0\\u8217{}l-\\uc0\\u304{}sl\\uc0\\u226{}mi\\uc0\\u8217{}l-Vas\\uc0\\u238{}t\\uc0\\u8221{}, 172.","plainCitation":"Hutayt, “Et-Ticâretu’l-Kârimiyye Ve’l-Kârim Fî Asri’l-Memâlîk: İshâm Fî Dirâseti Târîhi’l-Iktisâdi’l-İslâmi’l-Vasît”, 172.","noteIndex":10},"citationItems":[{"id":341,"uris":["http://zotero.org/users/17128450/items/FSBUBP3S"],"itemData":{"id":341,"type":"article-journal","container-title":"El-Fikru'l-Arabî","issue":"54","page":"170–183","publisher":"Ma'hedu'l-İnmâi'l-Arabî","title":"Et-Ticâretu'l-Kârimiyye Ve'l-Kârim Fî Asri'l-Memâlîk: İshâm Fî Dirâseti Târîhi'l-Iktisâdi'l-İslâmi'l-Vasît","volume":"9","author":[{"family":"Hutayt","given":"Ahmed"}],"issued":{"date-parts":[["1988"]]}},"locator":"172"}],"schema":"https://github.com/citation-style-language/schema/raw/master/csl-citation.json"} </w:instrText>
      </w:r>
      <w:r>
        <w:fldChar w:fldCharType="separate"/>
      </w:r>
      <w:r w:rsidRPr="000874EB">
        <w:rPr>
          <w:rFonts w:ascii="Calibri" w:hAnsi="Calibri" w:cs="Calibri"/>
          <w:kern w:val="0"/>
        </w:rPr>
        <w:t>Hutayt, “Et-Ticâretu’l-Kârimiyye Ve’l-Kârim Fî Asri’l-Memâlîk: İshâm Fî Dirâseti Târîhi’l-Iktisâdi’l-İslâmi’l-Vasît”, 172.</w:t>
      </w:r>
      <w:r>
        <w:fldChar w:fldCharType="end"/>
      </w:r>
    </w:p>
  </w:footnote>
  <w:footnote w:id="14">
    <w:p w14:paraId="54EA9ACE" w14:textId="4D1579B5" w:rsidR="00D0287E" w:rsidRDefault="00D0287E">
      <w:pPr>
        <w:pStyle w:val="DipnotMetni"/>
      </w:pPr>
      <w:r>
        <w:rPr>
          <w:rStyle w:val="DipnotBavurusu"/>
        </w:rPr>
        <w:footnoteRef/>
      </w:r>
      <w:r>
        <w:t xml:space="preserve"> </w:t>
      </w:r>
      <w:r>
        <w:fldChar w:fldCharType="begin"/>
      </w:r>
      <w:r w:rsidR="005B32B9">
        <w:instrText xml:space="preserve"> ADDIN ZOTERO_ITEM CSL_CITATION {"citationID":"RQlSYOIX","properties":{"formattedCitation":"Altan \\uc0\\u199{}eti\\uc0\\u775{}N\\uc0\\u8217{}, \\uc0\\u8220{}Memlukler Devrinde Karim\\uc0\\u305{} T\\uc0\\u252{}ccarlar\\uc0\\u305{}\\uc0\\u8221{} 23/35 (2004), 78.","plainCitation":"Altan Çeti̇N’, “Memlukler Devrinde Karimı Tüccarları” 23/35 (2004), 78.","noteIndex":14},"citationItems":[{"id":352,"uris":["http://zotero.org/users/17128450/items/7AL2F2GV"],"itemData":{"id":352,"type":"article-journal","issue":"35","page":"71 - 87","source":"dergipark.org.tr","title":"Memlukler Devrinde Karimı Tüccarları","volume":"23","author":[{"family":"Çeti̇N'","given":"Altan"}],"issued":{"date-parts":[["2004"]]}},"locator":"78"}],"schema":"https://github.com/citation-style-language/schema/raw/master/csl-citation.json"} </w:instrText>
      </w:r>
      <w:r>
        <w:fldChar w:fldCharType="separate"/>
      </w:r>
      <w:r w:rsidRPr="00D0287E">
        <w:rPr>
          <w:rFonts w:ascii="Calibri" w:hAnsi="Calibri" w:cs="Calibri"/>
          <w:kern w:val="0"/>
        </w:rPr>
        <w:t>Altan Çeti̇N’, “Memlukler Devrinde Karimı Tüccarları” 23/35 (2004), 78.</w:t>
      </w:r>
      <w:r>
        <w:fldChar w:fldCharType="end"/>
      </w:r>
    </w:p>
  </w:footnote>
  <w:footnote w:id="15">
    <w:p w14:paraId="26088067" w14:textId="59F410FF" w:rsidR="00C845C7" w:rsidRDefault="00C845C7">
      <w:pPr>
        <w:pStyle w:val="DipnotMetni"/>
      </w:pPr>
      <w:r>
        <w:rPr>
          <w:rStyle w:val="DipnotBavurusu"/>
        </w:rPr>
        <w:footnoteRef/>
      </w:r>
      <w:r>
        <w:t xml:space="preserve"> </w:t>
      </w:r>
      <w:r>
        <w:fldChar w:fldCharType="begin"/>
      </w:r>
      <w:r>
        <w:instrText xml:space="preserve"> ADDIN ZOTERO_ITEM CSL_CITATION {"citationID":"uklRilqu","properties":{"formattedCitation":"e\\uc0\\u351{}-\\uc0\\u350{}ara\\uc0\\u8217{}, \\uc0\\u8220{}Tic\\uc0\\u226{}retu\\uc0\\u8217{}l-k\\uc0\\u226{}rim fi\\uc0\\u8217{}l-us\\uc0\\u251{}ri\\uc0\\u8217{}l-vust\\uc0\\u226{}\\uc0\\u8221{}, 213-214.","plainCitation":"eş-Şara’, “Ticâretu’l-kârim fi’l-usûri’l-vustâ”, 213-214.","noteIndex":14},"citationItems":[{"id":347,"uris":["http://zotero.org/users/17128450/items/K4RBT3VA"],"itemData":{"id":347,"type":"article-journal","container-title":"Fikr ve İbdâ’","event-place":"Mısır","page":"205–220","publisher":"Râbitatu'l-Edebi'l-Hadîs","publisher-place":"Mısır","source":"El-Manzûme","title":"Ticâretu'l-kârim fi'l-usûri'l-vustâ","volume":"103","author":[{"family":"Şara’","given":"Mâcide Mevlûd Ramadân","non-dropping-particle":"eş-"}],"issued":{"date-parts":[["2016",8]]}},"locator":"213-214"}],"schema":"https://github.com/citation-style-language/schema/raw/master/csl-citation.json"} </w:instrText>
      </w:r>
      <w:r>
        <w:fldChar w:fldCharType="separate"/>
      </w:r>
      <w:r w:rsidRPr="00C845C7">
        <w:rPr>
          <w:rFonts w:ascii="Calibri" w:hAnsi="Calibri" w:cs="Calibri"/>
          <w:kern w:val="0"/>
        </w:rPr>
        <w:t>eş-Şara’, “Ticâretu’l-kârim fi’l-usûri’l-vustâ”, 213-214.</w:t>
      </w:r>
      <w:r>
        <w:fldChar w:fldCharType="end"/>
      </w:r>
    </w:p>
  </w:footnote>
  <w:footnote w:id="16">
    <w:p w14:paraId="2B7D4D3A" w14:textId="77777777" w:rsidR="007E28A6" w:rsidRDefault="007E28A6" w:rsidP="007E28A6">
      <w:pPr>
        <w:pStyle w:val="DipnotMetni"/>
      </w:pPr>
      <w:r>
        <w:rPr>
          <w:rStyle w:val="DipnotBavurusu"/>
        </w:rPr>
        <w:footnoteRef/>
      </w:r>
      <w:r>
        <w:t xml:space="preserve"> </w:t>
      </w:r>
      <w:r>
        <w:fldChar w:fldCharType="begin"/>
      </w:r>
      <w:r>
        <w:instrText xml:space="preserve"> ADDIN ZOTERO_ITEM CSL_CITATION {"citationID":"RnrJWbpy","properties":{"formattedCitation":"\\uc0\\u199{}eti\\uc0\\u775{}N\\uc0\\u8217{}, \\uc0\\u8220{}Memlukler Devrinde Karim\\uc0\\u305{} T\\uc0\\u252{}ccarlar\\uc0\\u305{}\\uc0\\u8221{}, 78.","plainCitation":"Çeti̇N’, “Memlukler Devrinde Karimı Tüccarları”, 78.","noteIndex":16},"citationItems":[{"id":352,"uris":["http://zotero.org/users/17128450/items/7AL2F2GV"],"itemData":{"id":352,"type":"article-journal","issue":"35","page":"71 - 87","source":"dergipark.org.tr","title":"Memlukler Devrinde Karimı Tüccarları","volume":"23","author":[{"family":"Çeti̇N'","given":"Altan"}],"issued":{"date-parts":[["2004"]]}},"locator":"78"}],"schema":"https://github.com/citation-style-language/schema/raw/master/csl-citation.json"} </w:instrText>
      </w:r>
      <w:r>
        <w:fldChar w:fldCharType="separate"/>
      </w:r>
      <w:r w:rsidRPr="00D0287E">
        <w:rPr>
          <w:rFonts w:ascii="Calibri" w:hAnsi="Calibri" w:cs="Calibri"/>
          <w:kern w:val="0"/>
        </w:rPr>
        <w:t>Çeti̇N’, “Memlukler Devrinde Karimı Tüccarları”, 78.</w:t>
      </w:r>
      <w:r>
        <w:fldChar w:fldCharType="end"/>
      </w:r>
    </w:p>
  </w:footnote>
  <w:footnote w:id="17">
    <w:p w14:paraId="7DB66BBF" w14:textId="77777777" w:rsidR="007E28A6" w:rsidRDefault="007E28A6" w:rsidP="007E28A6">
      <w:pPr>
        <w:pStyle w:val="DipnotMetni"/>
      </w:pPr>
      <w:r>
        <w:rPr>
          <w:rStyle w:val="DipnotBavurusu"/>
        </w:rPr>
        <w:footnoteRef/>
      </w:r>
      <w:r>
        <w:t xml:space="preserve"> </w:t>
      </w:r>
      <w:r>
        <w:fldChar w:fldCharType="begin"/>
      </w:r>
      <w:r>
        <w:instrText xml:space="preserve"> ADDIN ZOTERO_ITEM CSL_CITATION {"citationID":"U9aBgP3e","properties":{"formattedCitation":"\\uc0\\u199{}eti\\uc0\\u775{}N\\uc0\\u8217{}, \\uc0\\u8220{}Memlukler Devrinde Karim\\uc0\\u305{} T\\uc0\\u252{}ccarlar\\uc0\\u305{}\\uc0\\u8221{}, 88.","plainCitation":"Çeti̇N’, “Memlukler Devrinde Karimı Tüccarları”, 88.","noteIndex":17},"citationItems":[{"id":352,"uris":["http://zotero.org/users/17128450/items/7AL2F2GV"],"itemData":{"id":352,"type":"article-journal","issue":"35","page":"71 - 87","source":"dergipark.org.tr","title":"Memlukler Devrinde Karimı Tüccarları","volume":"23","author":[{"family":"Çeti̇N'","given":"Altan"}],"issued":{"date-parts":[["2004"]]}},"locator":"88"}],"schema":"https://github.com/citation-style-language/schema/raw/master/csl-citation.json"} </w:instrText>
      </w:r>
      <w:r>
        <w:fldChar w:fldCharType="separate"/>
      </w:r>
      <w:r w:rsidRPr="00D0287E">
        <w:rPr>
          <w:rFonts w:ascii="Calibri" w:hAnsi="Calibri" w:cs="Calibri"/>
          <w:kern w:val="0"/>
        </w:rPr>
        <w:t>Çeti̇N’, “Memlukler Devrinde Karimı Tüccarları”, 88.</w:t>
      </w:r>
      <w:r>
        <w:fldChar w:fldCharType="end"/>
      </w:r>
    </w:p>
  </w:footnote>
  <w:footnote w:id="18">
    <w:p w14:paraId="5C9C2E5C" w14:textId="3EF21235" w:rsidR="007B5FD6" w:rsidRDefault="007B5FD6">
      <w:pPr>
        <w:pStyle w:val="DipnotMetni"/>
      </w:pPr>
      <w:r>
        <w:rPr>
          <w:rStyle w:val="DipnotBavurusu"/>
        </w:rPr>
        <w:footnoteRef/>
      </w:r>
      <w:r>
        <w:t xml:space="preserve"> </w:t>
      </w:r>
      <w:r>
        <w:fldChar w:fldCharType="begin"/>
      </w:r>
      <w:r w:rsidR="005B32B9">
        <w:instrText xml:space="preserve"> ADDIN ZOTERO_ITEM CSL_CITATION {"citationID":"Aohw46zA","properties":{"formattedCitation":"Sev\\uc0\\u226{}d\\uc0\\u238{} Abd Muhammed, \\uc0\\u8220{}Tic\\uc0\\u226{}retu\\uc0\\u8217{}l-K\\uc0\\u226{}rim Fi\\uc0\\u8217{}l-Us\\uc0\\u251{}ri\\uc0\\u8217{}l-Vust\\uc0\\u226{} El-\\uc0\\u304{}sl\\uc0\\u226{}miyye\\uc0\\u8221{}, {\\i{}Mecelletu\\uc0\\u8217{}l-K\\uc0\\u252{}lliyyeti\\uc0\\u8217{}l-\\uc0\\u304{}sl\\uc0\\u226{}miyyeti\\uc0\\u8217{}l-C\\uc0\\u226{}mia} 73 (2023), 22.","plainCitation":"Sevâdî Abd Muhammed, “Ticâretu’l-Kârim Fi’l-Usûri’l-Vustâ El-İslâmiyye”, Mecelletu’l-Külliyyeti’l-İslâmiyyeti’l-Câmia 73 (2023), 22.","noteIndex":18},"citationItems":[{"id":349,"uris":["http://zotero.org/users/17128450/items/HIM4TTCD"],"itemData":{"id":349,"type":"article-journal","container-title":"Mecelletu'l-Külliyyeti'l-İslâmiyyeti'l-Câmia","DOI":"10.51837/0827-000-073-001","event-place":"Necef, Irak","ISSN":"1997-6208","issue":"73","page":"13–34","publisher":"el-Câmiatu'l-İslâmiyye","publisher-place":"Necef, Irak","title":"Ticâretu'l-Kârim Fi'l-Usûri'l-Vustâ El-İslâmiyye","author":[{"family":"Muhammed","given":"Sevâdî Abd"}],"issued":{"date-parts":[["2023"]]}},"locator":"22"}],"schema":"https://github.com/citation-style-language/schema/raw/master/csl-citation.json"} </w:instrText>
      </w:r>
      <w:r>
        <w:fldChar w:fldCharType="separate"/>
      </w:r>
      <w:r w:rsidRPr="007B5FD6">
        <w:rPr>
          <w:rFonts w:ascii="Calibri" w:hAnsi="Calibri" w:cs="Calibri"/>
          <w:kern w:val="0"/>
        </w:rPr>
        <w:t xml:space="preserve">Sevâdî Abd Muhammed, “Ticâretu’l-Kârim Fi’l-Usûri’l-Vustâ El-İslâmiyye”, </w:t>
      </w:r>
      <w:r w:rsidRPr="007B5FD6">
        <w:rPr>
          <w:rFonts w:ascii="Calibri" w:hAnsi="Calibri" w:cs="Calibri"/>
          <w:i/>
          <w:iCs/>
          <w:kern w:val="0"/>
        </w:rPr>
        <w:t>Mecelletu’l-Külliyyeti’l-İslâmiyyeti’l-Câmia</w:t>
      </w:r>
      <w:r w:rsidRPr="007B5FD6">
        <w:rPr>
          <w:rFonts w:ascii="Calibri" w:hAnsi="Calibri" w:cs="Calibri"/>
          <w:kern w:val="0"/>
        </w:rPr>
        <w:t xml:space="preserve"> 73 (2023), 22.</w:t>
      </w:r>
      <w:r>
        <w:fldChar w:fldCharType="end"/>
      </w:r>
    </w:p>
  </w:footnote>
  <w:footnote w:id="19">
    <w:p w14:paraId="4BF6DDD3" w14:textId="5CE9C0CD" w:rsidR="007B5FD6" w:rsidRDefault="007B5FD6">
      <w:pPr>
        <w:pStyle w:val="DipnotMetni"/>
      </w:pPr>
      <w:r>
        <w:rPr>
          <w:rStyle w:val="DipnotBavurusu"/>
        </w:rPr>
        <w:footnoteRef/>
      </w:r>
      <w:r>
        <w:t xml:space="preserve"> </w:t>
      </w:r>
      <w:r>
        <w:fldChar w:fldCharType="begin"/>
      </w:r>
      <w:r w:rsidR="005B32B9">
        <w:instrText xml:space="preserve"> ADDIN ZOTERO_ITEM CSL_CITATION {"citationID":"E0lIF4MR","properties":{"formattedCitation":"Muhammed, \\uc0\\u8220{}Tic\\uc0\\u226{}retu\\uc0\\u8217{}l-K\\uc0\\u226{}rim Fi\\uc0\\u8217{}l-Us\\uc0\\u251{}ri\\uc0\\u8217{}l-Vust\\uc0\\u226{} El-\\uc0\\u304{}sl\\uc0\\u226{}miyye\\uc0\\u8221{}, 23.","plainCitation":"Muhammed, “Ticâretu’l-Kârim Fi’l-Usûri’l-Vustâ El-İslâmiyye”, 23.","noteIndex":19},"citationItems":[{"id":349,"uris":["http://zotero.org/users/17128450/items/HIM4TTCD"],"itemData":{"id":349,"type":"article-journal","container-title":"Mecelletu'l-Külliyyeti'l-İslâmiyyeti'l-Câmia","DOI":"10.51837/0827-000-073-001","event-place":"Necef, Irak","ISSN":"1997-6208","issue":"73","page":"13–34","publisher":"el-Câmiatu'l-İslâmiyye","publisher-place":"Necef, Irak","title":"Ticâretu'l-Kârim Fi'l-Usûri'l-Vustâ El-İslâmiyye","author":[{"family":"Muhammed","given":"Sevâdî Abd"}],"issued":{"date-parts":[["2023"]]}},"locator":"23"}],"schema":"https://github.com/citation-style-language/schema/raw/master/csl-citation.json"} </w:instrText>
      </w:r>
      <w:r>
        <w:fldChar w:fldCharType="separate"/>
      </w:r>
      <w:r w:rsidRPr="007B5FD6">
        <w:rPr>
          <w:rFonts w:ascii="Calibri" w:hAnsi="Calibri" w:cs="Calibri"/>
          <w:kern w:val="0"/>
        </w:rPr>
        <w:t>Muhammed, “Ticâretu’l-Kârim Fi’l-Usûri’l-Vustâ El-İslâmiyye”, 23.</w:t>
      </w:r>
      <w:r>
        <w:fldChar w:fldCharType="end"/>
      </w:r>
    </w:p>
  </w:footnote>
  <w:footnote w:id="20">
    <w:p w14:paraId="715E7E38" w14:textId="53A7215F" w:rsidR="00402D44" w:rsidRDefault="00402D44">
      <w:pPr>
        <w:pStyle w:val="DipnotMetni"/>
      </w:pPr>
      <w:r>
        <w:rPr>
          <w:rStyle w:val="DipnotBavurusu"/>
        </w:rPr>
        <w:footnoteRef/>
      </w:r>
      <w:r>
        <w:t xml:space="preserve"> </w:t>
      </w:r>
      <w:r>
        <w:fldChar w:fldCharType="begin"/>
      </w:r>
      <w:r>
        <w:instrText xml:space="preserve"> ADDIN ZOTERO_ITEM CSL_CITATION {"citationID":"IOEwHzRW","properties":{"formattedCitation":"Leb\\uc0\\u238{}b, \\uc0\\u8220{}Et-Ticc\\uc0\\u226{}ru\\uc0\\u8217{}l-K\\uc0\\u226{}rimiyye Ve Tic\\uc0\\u226{}retu Misr F\\uc0\\u238{}\\uc0\\u8217{}l-Us\\uc0\\u251{}ri\\uc0\\u8217{}l-Vust\\uc0\\u226{}\\uc0\\u8221{}, 10.","plainCitation":"Lebîb, “Et-Ticcâru’l-Kârimiyye Ve Ticâretu Misr Fî’l-Usûri’l-Vustâ”, 10.","noteIndex":20},"citationItems":[{"id":337,"uris":["http://zotero.org/users/17128450/items/NJ6X5RCQ"],"itemData":{"id":337,"type":"article-journal","container-title":"El-Manzûme","issue":"2","page":"5-63","title":"Et-Ticcâru'l-Kârimiyye Ve Ticâretu Misr Fî'l-Usûri'l-Vustâ","volume":"4","author":[{"family":"Lebîb","given":"Subhî"}],"issued":{"date-parts":[["2019"]]}},"locator":"10"}],"schema":"https://github.com/citation-style-language/schema/raw/master/csl-citation.json"} </w:instrText>
      </w:r>
      <w:r>
        <w:fldChar w:fldCharType="separate"/>
      </w:r>
      <w:r w:rsidRPr="00402D44">
        <w:rPr>
          <w:rFonts w:ascii="Calibri" w:hAnsi="Calibri" w:cs="Calibri"/>
          <w:kern w:val="0"/>
        </w:rPr>
        <w:t>Lebîb, “Et-Ticcâru’l-Kârimiyye Ve Ticâretu Misr Fî’l-Usûri’l-Vustâ”, 10.</w:t>
      </w:r>
      <w:r>
        <w:fldChar w:fldCharType="end"/>
      </w:r>
    </w:p>
  </w:footnote>
  <w:footnote w:id="21">
    <w:p w14:paraId="2BDC1D93" w14:textId="3A142116" w:rsidR="00402D44" w:rsidRDefault="00402D44">
      <w:pPr>
        <w:pStyle w:val="DipnotMetni"/>
      </w:pPr>
      <w:r>
        <w:rPr>
          <w:rStyle w:val="DipnotBavurusu"/>
        </w:rPr>
        <w:footnoteRef/>
      </w:r>
      <w:r>
        <w:t xml:space="preserve"> </w:t>
      </w:r>
      <w:r>
        <w:fldChar w:fldCharType="begin"/>
      </w:r>
      <w:r>
        <w:instrText xml:space="preserve"> ADDIN ZOTERO_ITEM CSL_CITATION {"citationID":"x54JIyrC","properties":{"formattedCitation":"Leb\\uc0\\u238{}b, \\uc0\\u8220{}Et-Ticc\\uc0\\u226{}ru\\uc0\\u8217{}l-K\\uc0\\u226{}rimiyye Ve Tic\\uc0\\u226{}retu Misr F\\uc0\\u238{}\\uc0\\u8217{}l-Us\\uc0\\u251{}ri\\uc0\\u8217{}l-Vust\\uc0\\u226{}\\uc0\\u8221{}, 11.","plainCitation":"Lebîb, “Et-Ticcâru’l-Kârimiyye Ve Ticâretu Misr Fî’l-Usûri’l-Vustâ”, 11.","noteIndex":21},"citationItems":[{"id":337,"uris":["http://zotero.org/users/17128450/items/NJ6X5RCQ"],"itemData":{"id":337,"type":"article-journal","container-title":"El-Manzûme","issue":"2","page":"5-63","title":"Et-Ticcâru'l-Kârimiyye Ve Ticâretu Misr Fî'l-Usûri'l-Vustâ","volume":"4","author":[{"family":"Lebîb","given":"Subhî"}],"issued":{"date-parts":[["2019"]]}},"locator":"11"}],"schema":"https://github.com/citation-style-language/schema/raw/master/csl-citation.json"} </w:instrText>
      </w:r>
      <w:r>
        <w:fldChar w:fldCharType="separate"/>
      </w:r>
      <w:r w:rsidRPr="00402D44">
        <w:rPr>
          <w:rFonts w:ascii="Calibri" w:hAnsi="Calibri" w:cs="Calibri"/>
          <w:kern w:val="0"/>
        </w:rPr>
        <w:t>Lebîb, “Et-Ticcâru’l-Kârimiyye Ve Ticâretu Misr Fî’l-Usûri’l-Vustâ”, 11.</w:t>
      </w:r>
      <w:r>
        <w:fldChar w:fldCharType="end"/>
      </w:r>
    </w:p>
  </w:footnote>
  <w:footnote w:id="22">
    <w:p w14:paraId="59998650" w14:textId="422151C3" w:rsidR="00252DEC" w:rsidRDefault="00252DEC">
      <w:pPr>
        <w:pStyle w:val="DipnotMetni"/>
      </w:pPr>
      <w:r>
        <w:rPr>
          <w:rStyle w:val="DipnotBavurusu"/>
        </w:rPr>
        <w:footnoteRef/>
      </w:r>
      <w:r>
        <w:t xml:space="preserve"> </w:t>
      </w:r>
      <w:r>
        <w:fldChar w:fldCharType="begin"/>
      </w:r>
      <w:r>
        <w:instrText xml:space="preserve"> ADDIN ZOTERO_ITEM CSL_CITATION {"citationID":"qmoTcrXe","properties":{"formattedCitation":"e\\uc0\\u351{}-\\uc0\\u350{}ara\\uc0\\u8217{}, \\uc0\\u8220{}Tic\\uc0\\u226{}retu\\uc0\\u8217{}l-k\\uc0\\u226{}rim fi\\uc0\\u8217{}l-us\\uc0\\u251{}ri\\uc0\\u8217{}l-vust\\uc0\\u226{}\\uc0\\u8221{}, 22.","plainCitation":"eş-Şara’, “Ticâretu’l-kârim fi’l-usûri’l-vustâ”, 22.","noteIndex":22},"citationItems":[{"id":347,"uris":["http://zotero.org/users/17128450/items/K4RBT3VA"],"itemData":{"id":347,"type":"article-journal","container-title":"Fikr ve İbdâ’","event-place":"Mısır","page":"205–220","publisher":"Râbitatu'l-Edebi'l-Hadîs","publisher-place":"Mısır","source":"El-Manzûme","title":"Ticâretu'l-kârim fi'l-usûri'l-vustâ","volume":"103","author":[{"family":"Şara’","given":"Mâcide Mevlûd Ramadân","non-dropping-particle":"eş-"}],"issued":{"date-parts":[["2016",8]]}},"locator":"22"}],"schema":"https://github.com/citation-style-language/schema/raw/master/csl-citation.json"} </w:instrText>
      </w:r>
      <w:r>
        <w:fldChar w:fldCharType="separate"/>
      </w:r>
      <w:r w:rsidRPr="00252DEC">
        <w:rPr>
          <w:rFonts w:ascii="Calibri" w:hAnsi="Calibri" w:cs="Calibri"/>
          <w:kern w:val="0"/>
        </w:rPr>
        <w:t>eş-Şara’, “Ticâretu’l-kârim fi’l-usûri’l-vustâ”, 22.</w:t>
      </w:r>
      <w:r>
        <w:fldChar w:fldCharType="end"/>
      </w:r>
    </w:p>
  </w:footnote>
  <w:footnote w:id="23">
    <w:p w14:paraId="44DED8ED" w14:textId="77777777" w:rsidR="00252DEC" w:rsidRDefault="00252DEC" w:rsidP="00252DEC">
      <w:pPr>
        <w:pStyle w:val="DipnotMetni"/>
      </w:pPr>
      <w:r>
        <w:rPr>
          <w:rStyle w:val="DipnotBavurusu"/>
        </w:rPr>
        <w:footnoteRef/>
      </w:r>
      <w:r>
        <w:t xml:space="preserve"> </w:t>
      </w:r>
      <w:r>
        <w:fldChar w:fldCharType="begin"/>
      </w:r>
      <w:r>
        <w:instrText xml:space="preserve"> ADDIN ZOTERO_ITEM CSL_CITATION {"citationID":"Rp1ZrBnZ","properties":{"formattedCitation":"At\\uc0\\u305{}yye Ahmed el-K\\uc0\\u251{}s\\uc0\\u238{}, \\uc0\\u8220{}Adv\\uc0\\u226{}\\uc0\\u8217{} Ced\\uc0\\u238{}de Al\\uc0\\u226{} Tic\\uc0\\u226{}reti\\uc0\\u8217{}l-K\\uc0\\u226{}rim Min V\\uc0\\u226{}k\\uc0\\u305{}i Ves\\uc0\\u226{}iki\\uc0\\u8217{}l-Cen\\uc0\\u238{}ze\\uc0\\u8221{}, {\\i{}El-Mecelletu\\uc0\\u8217{}t-T\\uc0\\u226{}r\\uc0\\u238{}hiyyetu\\uc0\\u8217{}l-M\\uc0\\u305{}sriyye} 22 (1975), 32.","plainCitation":"Atıyye Ahmed el-Kûsî, “Advâ’ Cedîde Alâ Ticâreti’l-Kârim Min Vâkıi Vesâiki’l-Cenîze”, El-Mecelletu’t-Târîhiyyetu’l-Mısriyye 22 (1975), 32.","noteIndex":23},"citationItems":[{"id":353,"uris":["http://zotero.org/users/17128450/items/VDRHWNQX"],"itemData":{"id":353,"type":"article-journal","container-title":"El-Mecelletu’t-Târîhiyyetu’l-Mısriyye","event-place":"Kahire","page":"17–39","publisher":"el-Cem’iyyetu’t-Târîhiyyetu’l-Mısriyye","publisher-place":"Kahire","source":"El-Manzûme","title":"Advâ’ Cedîde Alâ Ticâreti’l-Kârim Min Vâkıi Vesâiki’l-Cenîze","volume":"22","author":[{"family":"Kûsî","given":"Atıyye Ahmed","non-dropping-particle":"el-"}],"issued":{"date-parts":[["1975"]]}},"locator":"32","label":"page"}],"schema":"https://github.com/citation-style-language/schema/raw/master/csl-citation.json"} </w:instrText>
      </w:r>
      <w:r>
        <w:fldChar w:fldCharType="separate"/>
      </w:r>
      <w:r w:rsidRPr="00252DEC">
        <w:rPr>
          <w:rFonts w:ascii="Calibri" w:hAnsi="Calibri" w:cs="Calibri"/>
          <w:kern w:val="0"/>
        </w:rPr>
        <w:t xml:space="preserve">Atıyye Ahmed el-Kûsî, “Advâ’ Cedîde Alâ Ticâreti’l-Kârim Min Vâkıi Vesâiki’l-Cenîze”, </w:t>
      </w:r>
      <w:r w:rsidRPr="00252DEC">
        <w:rPr>
          <w:rFonts w:ascii="Calibri" w:hAnsi="Calibri" w:cs="Calibri"/>
          <w:i/>
          <w:iCs/>
          <w:kern w:val="0"/>
        </w:rPr>
        <w:t>El-Mecelletu’t-Târîhiyyetu’l-Mısriyye</w:t>
      </w:r>
      <w:r w:rsidRPr="00252DEC">
        <w:rPr>
          <w:rFonts w:ascii="Calibri" w:hAnsi="Calibri" w:cs="Calibri"/>
          <w:kern w:val="0"/>
        </w:rPr>
        <w:t xml:space="preserve"> 22 (1975), 32.</w:t>
      </w:r>
      <w:r>
        <w:fldChar w:fldCharType="end"/>
      </w:r>
    </w:p>
  </w:footnote>
  <w:footnote w:id="24">
    <w:p w14:paraId="5C993F4F" w14:textId="692ED73C" w:rsidR="00402D44" w:rsidRDefault="00402D44">
      <w:pPr>
        <w:pStyle w:val="DipnotMetni"/>
      </w:pPr>
      <w:r>
        <w:rPr>
          <w:rStyle w:val="DipnotBavurusu"/>
        </w:rPr>
        <w:footnoteRef/>
      </w:r>
      <w:r>
        <w:t xml:space="preserve"> </w:t>
      </w:r>
      <w:r>
        <w:fldChar w:fldCharType="begin"/>
      </w:r>
      <w:r w:rsidR="00252DEC">
        <w:instrText xml:space="preserve"> ADDIN ZOTERO_ITEM CSL_CITATION {"citationID":"fJOVzRWN","properties":{"formattedCitation":"Leb\\uc0\\u238{}b, \\uc0\\u8220{}Et-Ticc\\uc0\\u226{}ru\\uc0\\u8217{}l-K\\uc0\\u226{}rimiyye Ve Tic\\uc0\\u226{}retu Misr F\\uc0\\u238{}\\uc0\\u8217{}l-Us\\uc0\\u251{}ri\\uc0\\u8217{}l-Vust\\uc0\\u226{}\\uc0\\u8221{}, 11-12.","plainCitation":"Lebîb, “Et-Ticcâru’l-Kârimiyye Ve Ticâretu Misr Fî’l-Usûri’l-Vustâ”, 11-12.","noteIndex":23},"citationItems":[{"id":337,"uris":["http://zotero.org/users/17128450/items/NJ6X5RCQ"],"itemData":{"id":337,"type":"article-journal","container-title":"El-Manzûme","issue":"2","page":"5-63","title":"Et-Ticcâru'l-Kârimiyye Ve Ticâretu Misr Fî'l-Usûri'l-Vustâ","volume":"4","author":[{"family":"Lebîb","given":"Subhî"}],"issued":{"date-parts":[["2019"]]}},"locator":"11-12"}],"schema":"https://github.com/citation-style-language/schema/raw/master/csl-citation.json"} </w:instrText>
      </w:r>
      <w:r>
        <w:fldChar w:fldCharType="separate"/>
      </w:r>
      <w:r w:rsidRPr="00402D44">
        <w:rPr>
          <w:rFonts w:ascii="Calibri" w:hAnsi="Calibri" w:cs="Calibri"/>
          <w:kern w:val="0"/>
        </w:rPr>
        <w:t>Lebîb, “Et-Ticcâru’l-Kârimiyye Ve Ticâretu Misr Fî’l-Usûri’l-Vustâ”, 11-12.</w:t>
      </w:r>
      <w:r>
        <w:fldChar w:fldCharType="end"/>
      </w:r>
    </w:p>
  </w:footnote>
  <w:footnote w:id="25">
    <w:p w14:paraId="521188F6" w14:textId="77777777" w:rsidR="00252DEC" w:rsidRDefault="00252DEC" w:rsidP="00252DEC">
      <w:pPr>
        <w:pStyle w:val="DipnotMetni"/>
      </w:pPr>
      <w:r>
        <w:rPr>
          <w:rStyle w:val="DipnotBavurusu"/>
        </w:rPr>
        <w:footnoteRef/>
      </w:r>
      <w:r>
        <w:t xml:space="preserve"> </w:t>
      </w:r>
      <w:r>
        <w:fldChar w:fldCharType="begin"/>
      </w:r>
      <w:r>
        <w:instrText xml:space="preserve"> ADDIN ZOTERO_ITEM CSL_CITATION {"citationID":"E3wme8Wi","properties":{"formattedCitation":"el-K\\uc0\\u251{}s\\uc0\\u238{}, \\uc0\\u8220{}Adv\\uc0\\u226{}\\uc0\\u8217{} Ced\\uc0\\u238{}de Al\\uc0\\u226{} Tic\\uc0\\u226{}reti\\uc0\\u8217{}l-K\\uc0\\u226{}rim Min V\\uc0\\u226{}k\\uc0\\u305{}i Ves\\uc0\\u226{}iki\\uc0\\u8217{}l-Cen\\uc0\\u238{}ze\\uc0\\u8221{}, 32.","plainCitation":"el-Kûsî, “Advâ’ Cedîde Alâ Ticâreti’l-Kârim Min Vâkıi Vesâiki’l-Cenîze”, 32.","noteIndex":25},"citationItems":[{"id":353,"uris":["http://zotero.org/users/17128450/items/VDRHWNQX"],"itemData":{"id":353,"type":"article-journal","container-title":"El-Mecelletu’t-Târîhiyyetu’l-Mısriyye","event-place":"Kahire","page":"17–39","publisher":"el-Cem’iyyetu’t-Târîhiyyetu’l-Mısriyye","publisher-place":"Kahire","source":"El-Manzûme","title":"Advâ’ Cedîde Alâ Ticâreti’l-Kârim Min Vâkıi Vesâiki’l-Cenîze","volume":"22","author":[{"family":"Kûsî","given":"Atıyye Ahmed","non-dropping-particle":"el-"}],"issued":{"date-parts":[["1975"]]}},"locator":"32","label":"page"}],"schema":"https://github.com/citation-style-language/schema/raw/master/csl-citation.json"} </w:instrText>
      </w:r>
      <w:r>
        <w:fldChar w:fldCharType="separate"/>
      </w:r>
      <w:r w:rsidRPr="00252DEC">
        <w:rPr>
          <w:rFonts w:ascii="Calibri" w:hAnsi="Calibri" w:cs="Calibri"/>
          <w:kern w:val="0"/>
        </w:rPr>
        <w:t>el-Kûsî, “Advâ’ Cedîde Alâ Ticâreti’l-Kârim Min Vâkıi Vesâiki’l-Cenîze”, 32.</w:t>
      </w:r>
      <w:r>
        <w:fldChar w:fldCharType="end"/>
      </w:r>
    </w:p>
  </w:footnote>
  <w:footnote w:id="26">
    <w:p w14:paraId="43E6518A" w14:textId="750F9546" w:rsidR="00FF55DD" w:rsidRDefault="00FF55DD">
      <w:pPr>
        <w:pStyle w:val="DipnotMetni"/>
      </w:pPr>
      <w:r>
        <w:rPr>
          <w:rStyle w:val="DipnotBavurusu"/>
        </w:rPr>
        <w:footnoteRef/>
      </w:r>
      <w:r>
        <w:t xml:space="preserve"> </w:t>
      </w:r>
      <w:r>
        <w:fldChar w:fldCharType="begin"/>
      </w:r>
      <w:r>
        <w:instrText xml:space="preserve"> ADDIN ZOTERO_ITEM CSL_CITATION {"citationID":"QAROyKkx","properties":{"formattedCitation":"Hutayt, \\uc0\\u8220{}Et-Tic\\uc0\\u226{}retu\\uc0\\u8217{}l-K\\uc0\\u226{}rimiyye Ve\\uc0\\u8217{}l-K\\uc0\\u226{}rim F\\uc0\\u238{} Asri\\uc0\\u8217{}l-Mem\\uc0\\u226{}l\\uc0\\u238{}k: \\uc0\\u304{}sh\\uc0\\u226{}m F\\uc0\\u238{} Dir\\uc0\\u226{}seti T\\uc0\\u226{}r\\uc0\\u238{}hi\\uc0\\u8217{}l-Iktis\\uc0\\u226{}di\\uc0\\u8217{}l-\\uc0\\u304{}sl\\uc0\\u226{}mi\\uc0\\u8217{}l-Vas\\uc0\\u238{}t\\uc0\\u8221{}, 172.","plainCitation":"Hutayt, “Et-Ticâretu’l-Kârimiyye Ve’l-Kârim Fî Asri’l-Memâlîk: İshâm Fî Dirâseti Târîhi’l-Iktisâdi’l-İslâmi’l-Vasît”, 172.","noteIndex":26},"citationItems":[{"id":341,"uris":["http://zotero.org/users/17128450/items/FSBUBP3S"],"itemData":{"id":341,"type":"article-journal","container-title":"El-Fikru'l-Arabî","issue":"54","page":"170–183","publisher":"Ma'hedu'l-İnmâi'l-Arabî","title":"Et-Ticâretu'l-Kârimiyye Ve'l-Kârim Fî Asri'l-Memâlîk: İshâm Fî Dirâseti Târîhi'l-Iktisâdi'l-İslâmi'l-Vasît","volume":"9","author":[{"family":"Hutayt","given":"Ahmed"}],"issued":{"date-parts":[["1988"]]}},"locator":"172"}],"schema":"https://github.com/citation-style-language/schema/raw/master/csl-citation.json"} </w:instrText>
      </w:r>
      <w:r>
        <w:fldChar w:fldCharType="separate"/>
      </w:r>
      <w:r w:rsidRPr="00FF55DD">
        <w:rPr>
          <w:rFonts w:ascii="Calibri" w:hAnsi="Calibri" w:cs="Calibri"/>
          <w:kern w:val="0"/>
        </w:rPr>
        <w:t>Hutayt, “Et-Ticâretu’l-Kârimiyye Ve’l-Kârim Fî Asri’l-Memâlîk: İshâm Fî Dirâseti Târîhi’l-Iktisâdi’l-İslâmi’l-Vasît”, 172.</w:t>
      </w:r>
      <w:r>
        <w:fldChar w:fldCharType="end"/>
      </w:r>
    </w:p>
  </w:footnote>
  <w:footnote w:id="27">
    <w:p w14:paraId="6BFE3341" w14:textId="77777777" w:rsidR="00FF55DD" w:rsidRDefault="00FF55DD" w:rsidP="00FF55DD">
      <w:pPr>
        <w:pStyle w:val="DipnotMetni"/>
      </w:pPr>
      <w:r>
        <w:rPr>
          <w:rStyle w:val="DipnotBavurusu"/>
        </w:rPr>
        <w:footnoteRef/>
      </w:r>
      <w:r>
        <w:t xml:space="preserve"> </w:t>
      </w:r>
      <w:r>
        <w:fldChar w:fldCharType="begin"/>
      </w:r>
      <w:r>
        <w:instrText xml:space="preserve"> ADDIN ZOTERO_ITEM CSL_CITATION {"citationID":"CF83bOAP","properties":{"formattedCitation":"Hutayt, \\uc0\\u8220{}Et-Tic\\uc0\\u226{}retu\\uc0\\u8217{}l-K\\uc0\\u226{}rimiyye Ve\\uc0\\u8217{}l-K\\uc0\\u226{}rim F\\uc0\\u238{} Asri\\uc0\\u8217{}l-Mem\\uc0\\u226{}l\\uc0\\u238{}k: \\uc0\\u304{}sh\\uc0\\u226{}m F\\uc0\\u238{} Dir\\uc0\\u226{}seti T\\uc0\\u226{}r\\uc0\\u238{}hi\\uc0\\u8217{}l-Iktis\\uc0\\u226{}di\\uc0\\u8217{}l-\\uc0\\u304{}sl\\uc0\\u226{}mi\\uc0\\u8217{}l-Vas\\uc0\\u238{}t\\uc0\\u8221{}, 172.","plainCitation":"Hutayt, “Et-Ticâretu’l-Kârimiyye Ve’l-Kârim Fî Asri’l-Memâlîk: İshâm Fî Dirâseti Târîhi’l-Iktisâdi’l-İslâmi’l-Vasît”, 172.","noteIndex":27},"citationItems":[{"id":341,"uris":["http://zotero.org/users/17128450/items/FSBUBP3S"],"itemData":{"id":341,"type":"article-journal","container-title":"El-Fikru'l-Arabî","issue":"54","page":"170–183","publisher":"Ma'hedu'l-İnmâi'l-Arabî","title":"Et-Ticâretu'l-Kârimiyye Ve'l-Kârim Fî Asri'l-Memâlîk: İshâm Fî Dirâseti Târîhi'l-Iktisâdi'l-İslâmi'l-Vasît","volume":"9","author":[{"family":"Hutayt","given":"Ahmed"}],"issued":{"date-parts":[["1988"]]}},"locator":"172"}],"schema":"https://github.com/citation-style-language/schema/raw/master/csl-citation.json"} </w:instrText>
      </w:r>
      <w:r>
        <w:fldChar w:fldCharType="separate"/>
      </w:r>
      <w:r w:rsidRPr="00FF55DD">
        <w:rPr>
          <w:rFonts w:ascii="Calibri" w:hAnsi="Calibri" w:cs="Calibri"/>
          <w:kern w:val="0"/>
        </w:rPr>
        <w:t>Hutayt, “Et-Ticâretu’l-Kârimiyye Ve’l-Kârim Fî Asri’l-Memâlîk: İshâm Fî Dirâseti Târîhi’l-Iktisâdi’l-İslâmi’l-Vasît”, 172.</w:t>
      </w:r>
      <w:r>
        <w:fldChar w:fldCharType="end"/>
      </w:r>
    </w:p>
  </w:footnote>
  <w:footnote w:id="28">
    <w:p w14:paraId="539CEEC7" w14:textId="71748C1D" w:rsidR="00296841" w:rsidRDefault="00296841">
      <w:pPr>
        <w:pStyle w:val="DipnotMetni"/>
      </w:pPr>
      <w:r>
        <w:rPr>
          <w:rStyle w:val="DipnotBavurusu"/>
        </w:rPr>
        <w:footnoteRef/>
      </w:r>
      <w:r>
        <w:t xml:space="preserve"> </w:t>
      </w:r>
      <w:r>
        <w:fldChar w:fldCharType="begin"/>
      </w:r>
      <w:r>
        <w:instrText xml:space="preserve"> ADDIN ZOTERO_ITEM CSL_CITATION {"citationID":"02ICsdDv","properties":{"formattedCitation":"Leb\\uc0\\u238{}b, \\uc0\\u8220{}Et-Ticc\\uc0\\u226{}ru\\uc0\\u8217{}l-K\\uc0\\u226{}rimiyye Ve Tic\\uc0\\u226{}retu Misr F\\uc0\\u238{}\\uc0\\u8217{}l-Us\\uc0\\u251{}ri\\uc0\\u8217{}l-Vust\\uc0\\u226{}\\uc0\\u8221{}, 15.","plainCitation":"Lebîb, “Et-Ticcâru’l-Kârimiyye Ve Ticâretu Misr Fî’l-Usûri’l-Vustâ”, 15.","noteIndex":28},"citationItems":[{"id":337,"uris":["http://zotero.org/users/17128450/items/NJ6X5RCQ"],"itemData":{"id":337,"type":"article-journal","container-title":"El-Manzûme","issue":"2","page":"5-63","title":"Et-Ticcâru'l-Kârimiyye Ve Ticâretu Misr Fî'l-Usûri'l-Vustâ","volume":"4","author":[{"family":"Lebîb","given":"Subhî"}],"issued":{"date-parts":[["2019"]]}},"locator":"15"}],"schema":"https://github.com/citation-style-language/schema/raw/master/csl-citation.json"} </w:instrText>
      </w:r>
      <w:r>
        <w:fldChar w:fldCharType="separate"/>
      </w:r>
      <w:r w:rsidRPr="00296841">
        <w:rPr>
          <w:rFonts w:ascii="Calibri" w:hAnsi="Calibri" w:cs="Calibri"/>
          <w:kern w:val="0"/>
        </w:rPr>
        <w:t>Lebîb, “Et-Ticcâru’l-Kârimiyye Ve Ticâretu Misr Fî’l-Usûri’l-Vustâ”, 15.</w:t>
      </w:r>
      <w:r>
        <w:fldChar w:fldCharType="end"/>
      </w:r>
    </w:p>
  </w:footnote>
  <w:footnote w:id="29">
    <w:p w14:paraId="3F320CCA" w14:textId="016D356A" w:rsidR="00313717" w:rsidRDefault="00313717">
      <w:pPr>
        <w:pStyle w:val="DipnotMetni"/>
      </w:pPr>
      <w:r>
        <w:rPr>
          <w:rStyle w:val="DipnotBavurusu"/>
        </w:rPr>
        <w:footnoteRef/>
      </w:r>
      <w:r>
        <w:t xml:space="preserve"> </w:t>
      </w:r>
      <w:r>
        <w:fldChar w:fldCharType="begin"/>
      </w:r>
      <w:r>
        <w:instrText xml:space="preserve"> ADDIN ZOTERO_ITEM CSL_CITATION {"citationID":"DJJxIXWA","properties":{"formattedCitation":"Leb\\uc0\\u238{}b, \\uc0\\u8220{}Et-Ticc\\uc0\\u226{}ru\\uc0\\u8217{}l-K\\uc0\\u226{}rimiyye Ve Tic\\uc0\\u226{}retu Misr F\\uc0\\u238{}\\uc0\\u8217{}l-Us\\uc0\\u251{}ri\\uc0\\u8217{}l-Vust\\uc0\\u226{}\\uc0\\u8221{}, 16.","plainCitation":"Lebîb, “Et-Ticcâru’l-Kârimiyye Ve Ticâretu Misr Fî’l-Usûri’l-Vustâ”, 16.","noteIndex":29},"citationItems":[{"id":337,"uris":["http://zotero.org/users/17128450/items/NJ6X5RCQ"],"itemData":{"id":337,"type":"article-journal","container-title":"El-Manzûme","issue":"2","page":"5-63","title":"Et-Ticcâru'l-Kârimiyye Ve Ticâretu Misr Fî'l-Usûri'l-Vustâ","volume":"4","author":[{"family":"Lebîb","given":"Subhî"}],"issued":{"date-parts":[["2019"]]}},"locator":"16"}],"schema":"https://github.com/citation-style-language/schema/raw/master/csl-citation.json"} </w:instrText>
      </w:r>
      <w:r>
        <w:fldChar w:fldCharType="separate"/>
      </w:r>
      <w:r w:rsidRPr="00313717">
        <w:rPr>
          <w:rFonts w:ascii="Calibri" w:hAnsi="Calibri" w:cs="Calibri"/>
          <w:kern w:val="0"/>
        </w:rPr>
        <w:t>Lebîb, “Et-Ticcâru’l-Kârimiyye Ve Ticâretu Misr Fî’l-Usûri’l-Vustâ”, 16.</w:t>
      </w:r>
      <w:r>
        <w:fldChar w:fldCharType="end"/>
      </w:r>
    </w:p>
  </w:footnote>
  <w:footnote w:id="30">
    <w:p w14:paraId="3ED8CB69" w14:textId="75FDAB6D" w:rsidR="00701EAF" w:rsidRDefault="00701EAF">
      <w:pPr>
        <w:pStyle w:val="DipnotMetni"/>
      </w:pPr>
      <w:r>
        <w:rPr>
          <w:rStyle w:val="DipnotBavurusu"/>
        </w:rPr>
        <w:footnoteRef/>
      </w:r>
      <w:r>
        <w:t xml:space="preserve"> </w:t>
      </w:r>
      <w:r>
        <w:fldChar w:fldCharType="begin"/>
      </w:r>
      <w:r>
        <w:instrText xml:space="preserve"> ADDIN ZOTERO_ITEM CSL_CITATION {"citationID":"vwSxHPIH","properties":{"formattedCitation":"Hutayt, \\uc0\\u8220{}Et-Tic\\uc0\\u226{}retu\\uc0\\u8217{}l-K\\uc0\\u226{}rimiyye Ve\\uc0\\u8217{}l-K\\uc0\\u226{}rim F\\uc0\\u238{} Asri\\uc0\\u8217{}l-Mem\\uc0\\u226{}l\\uc0\\u238{}k: \\uc0\\u304{}sh\\uc0\\u226{}m F\\uc0\\u238{} Dir\\uc0\\u226{}seti T\\uc0\\u226{}r\\uc0\\u238{}hi\\uc0\\u8217{}l-Iktis\\uc0\\u226{}di\\uc0\\u8217{}l-\\uc0\\u304{}sl\\uc0\\u226{}mi\\uc0\\u8217{}l-Vas\\uc0\\u238{}t\\uc0\\u8221{}, 175.","plainCitation":"Hutayt, “Et-Ticâretu’l-Kârimiyye Ve’l-Kârim Fî Asri’l-Memâlîk: İshâm Fî Dirâseti Târîhi’l-Iktisâdi’l-İslâmi’l-Vasît”, 175.","noteIndex":30},"citationItems":[{"id":341,"uris":["http://zotero.org/users/17128450/items/FSBUBP3S"],"itemData":{"id":341,"type":"article-journal","container-title":"El-Fikru'l-Arabî","issue":"54","page":"170–183","publisher":"Ma'hedu'l-İnmâi'l-Arabî","title":"Et-Ticâretu'l-Kârimiyye Ve'l-Kârim Fî Asri'l-Memâlîk: İshâm Fî Dirâseti Târîhi'l-Iktisâdi'l-İslâmi'l-Vasît","volume":"9","author":[{"family":"Hutayt","given":"Ahmed"}],"issued":{"date-parts":[["1988"]]}},"locator":"175"}],"schema":"https://github.com/citation-style-language/schema/raw/master/csl-citation.json"} </w:instrText>
      </w:r>
      <w:r>
        <w:fldChar w:fldCharType="separate"/>
      </w:r>
      <w:r w:rsidRPr="00701EAF">
        <w:rPr>
          <w:rFonts w:ascii="Calibri" w:hAnsi="Calibri" w:cs="Calibri"/>
          <w:kern w:val="0"/>
        </w:rPr>
        <w:t>Hutayt, “Et-Ticâretu’l-Kârimiyye Ve’l-Kârim Fî Asri’l-Memâlîk: İshâm Fî Dirâseti Târîhi’l-Iktisâdi’l-İslâmi’l-Vasît”, 175.</w:t>
      </w:r>
      <w:r>
        <w:fldChar w:fldCharType="end"/>
      </w:r>
    </w:p>
  </w:footnote>
  <w:footnote w:id="31">
    <w:p w14:paraId="33C330D4" w14:textId="4480A74B" w:rsidR="00E62DA7" w:rsidRDefault="00E62DA7">
      <w:pPr>
        <w:pStyle w:val="DipnotMetni"/>
      </w:pPr>
      <w:r>
        <w:rPr>
          <w:rStyle w:val="DipnotBavurusu"/>
        </w:rPr>
        <w:footnoteRef/>
      </w:r>
      <w:r>
        <w:t xml:space="preserve"> </w:t>
      </w:r>
      <w:r>
        <w:fldChar w:fldCharType="begin"/>
      </w:r>
      <w:r w:rsidR="00701EAF">
        <w:instrText xml:space="preserve"> ADDIN ZOTERO_ITEM CSL_CITATION {"citationID":"MWW3OZA7","properties":{"formattedCitation":"Leb\\uc0\\u238{}b, \\uc0\\u8220{}Et-Ticc\\uc0\\u226{}ru\\uc0\\u8217{}l-K\\uc0\\u226{}rimiyye Ve Tic\\uc0\\u226{}retu Misr F\\uc0\\u238{}\\uc0\\u8217{}l-Us\\uc0\\u251{}ri\\uc0\\u8217{}l-Vust\\uc0\\u226{}\\uc0\\u8221{}, 25.","plainCitation":"Lebîb, “Et-Ticcâru’l-Kârimiyye Ve Ticâretu Misr Fî’l-Usûri’l-Vustâ”, 25.","noteIndex":31},"citationItems":[{"id":337,"uris":["http://zotero.org/users/17128450/items/NJ6X5RCQ"],"itemData":{"id":337,"type":"article-journal","container-title":"El-Manzûme","issue":"2","page":"5-63","title":"Et-Ticcâru'l-Kârimiyye Ve Ticâretu Misr Fî'l-Usûri'l-Vustâ","volume":"4","author":[{"family":"Lebîb","given":"Subhî"}],"issued":{"date-parts":[["2019"]]}},"locator":"25"}],"schema":"https://github.com/citation-style-language/schema/raw/master/csl-citation.json"} </w:instrText>
      </w:r>
      <w:r>
        <w:fldChar w:fldCharType="separate"/>
      </w:r>
      <w:r w:rsidRPr="00E62DA7">
        <w:rPr>
          <w:rFonts w:ascii="Calibri" w:hAnsi="Calibri" w:cs="Calibri"/>
          <w:kern w:val="0"/>
        </w:rPr>
        <w:t>Lebîb, “Et-Ticcâru’l-Kârimiyye Ve Ticâretu Misr Fî’l-Usûri’l-Vustâ”, 25.</w:t>
      </w:r>
      <w:r>
        <w:fldChar w:fldCharType="end"/>
      </w:r>
    </w:p>
  </w:footnote>
  <w:footnote w:id="32">
    <w:p w14:paraId="09B1FBD6" w14:textId="05BF3264" w:rsidR="002551EB" w:rsidRDefault="002551EB">
      <w:pPr>
        <w:pStyle w:val="DipnotMetni"/>
      </w:pPr>
      <w:r>
        <w:rPr>
          <w:rStyle w:val="DipnotBavurusu"/>
        </w:rPr>
        <w:footnoteRef/>
      </w:r>
      <w:r>
        <w:t xml:space="preserve"> </w:t>
      </w:r>
      <w:r>
        <w:fldChar w:fldCharType="begin"/>
      </w:r>
      <w:r>
        <w:instrText xml:space="preserve"> ADDIN ZOTERO_ITEM CSL_CITATION {"citationID":"Wi2uwYDu","properties":{"formattedCitation":"el-Me\\uc0\\u351{}hed\\uc0\\u226{}n\\uc0\\u238{}, \\uc0\\u8220{}Ru\\uc0\\u8217{}ye Ced\\uc0\\u238{}de F\\uc0\\u238{} Us\\uc0\\u251{}li\\uc0\\u8217{}t-Tic\\uc0\\u226{}reti\\uc0\\u8217{}l-K\\uc0\\u226{}rimiyye\\uc0\\u8221{}, 176.","plainCitation":"el-Meşhedânî, “Ru’ye Cedîde Fî Usûli’t-Ticâreti’l-Kârimiyye”, 176.","noteIndex":32},"citationItems":[{"id":339,"uris":["http://zotero.org/users/17128450/items/7AN8WKU9"],"itemData":{"id":339,"type":"article-journal","container-title":"Havliyyetu'l-Muntedâ Li'd-Dirâsâti'l-Insâniyye","DOI":"10.35519/0828-000-039-007","event-place":"Irak","ISSN":"1998-0841","page":"167–202","publisher":"el-Muntedâ'l-vatanî li-ebhâsi'l-fikr ve's-sekâfe","publisher-place":"Irak","source":"El-Manzûme","title":"Ru'ye Cedîde Fî Usûli't-Ticâreti'l-Kârimiyye","volume":"39","author":[{"family":"Meşhedânî","given":"Yâsir","non-dropping-particle":"el-"}],"issued":{"date-parts":[["2019",7]]}},"locator":"176","label":"page"}],"schema":"https://github.com/citation-style-language/schema/raw/master/csl-citation.json"} </w:instrText>
      </w:r>
      <w:r>
        <w:fldChar w:fldCharType="separate"/>
      </w:r>
      <w:r w:rsidRPr="002551EB">
        <w:rPr>
          <w:rFonts w:ascii="Calibri" w:hAnsi="Calibri" w:cs="Calibri"/>
          <w:kern w:val="0"/>
        </w:rPr>
        <w:t>el-Meşhedânî, “Ru’ye Cedîde Fî Usûli’t-Ticâreti’l-Kârimiyye”, 176.</w:t>
      </w:r>
      <w:r>
        <w:fldChar w:fldCharType="end"/>
      </w:r>
    </w:p>
  </w:footnote>
  <w:footnote w:id="33">
    <w:p w14:paraId="7A68A6B8" w14:textId="61E857BA" w:rsidR="00D0695D" w:rsidRDefault="00D0695D">
      <w:pPr>
        <w:pStyle w:val="DipnotMetni"/>
      </w:pPr>
      <w:r>
        <w:rPr>
          <w:rStyle w:val="DipnotBavurusu"/>
        </w:rPr>
        <w:footnoteRef/>
      </w:r>
      <w:r>
        <w:t xml:space="preserve"> </w:t>
      </w:r>
      <w:r>
        <w:fldChar w:fldCharType="begin"/>
      </w:r>
      <w:r>
        <w:instrText xml:space="preserve"> ADDIN ZOTERO_ITEM CSL_CITATION {"citationID":"WXudUBUT","properties":{"formattedCitation":"Leb\\uc0\\u238{}b, \\uc0\\u8220{}Et-Ticc\\uc0\\u226{}ru\\uc0\\u8217{}l-K\\uc0\\u226{}rimiyye Ve Tic\\uc0\\u226{}retu Misr F\\uc0\\u238{}\\uc0\\u8217{}l-Us\\uc0\\u251{}ri\\uc0\\u8217{}l-Vust\\uc0\\u226{}\\uc0\\u8221{}, 38.","plainCitation":"Lebîb, “Et-Ticcâru’l-Kârimiyye Ve Ticâretu Misr Fî’l-Usûri’l-Vustâ”, 38.","noteIndex":33},"citationItems":[{"id":337,"uris":["http://zotero.org/users/17128450/items/NJ6X5RCQ"],"itemData":{"id":337,"type":"article-journal","container-title":"El-Manzûme","issue":"2","page":"5-63","title":"Et-Ticcâru'l-Kârimiyye Ve Ticâretu Misr Fî'l-Usûri'l-Vustâ","volume":"4","author":[{"family":"Lebîb","given":"Subhî"}],"issued":{"date-parts":[["2019"]]}},"locator":"38","label":"page"}],"schema":"https://github.com/citation-style-language/schema/raw/master/csl-citation.json"} </w:instrText>
      </w:r>
      <w:r>
        <w:fldChar w:fldCharType="separate"/>
      </w:r>
      <w:r w:rsidRPr="00D0695D">
        <w:rPr>
          <w:rFonts w:ascii="Calibri" w:hAnsi="Calibri" w:cs="Calibri"/>
          <w:kern w:val="0"/>
        </w:rPr>
        <w:t>Lebîb, “Et-Ticcâru’l-Kârimiyye Ve Ticâretu Misr Fî’l-Usûri’l-Vustâ”, 38.</w:t>
      </w:r>
      <w:r>
        <w:fldChar w:fldCharType="end"/>
      </w:r>
    </w:p>
  </w:footnote>
  <w:footnote w:id="34">
    <w:p w14:paraId="5EF26E2F" w14:textId="79E77B38" w:rsidR="00874663" w:rsidRDefault="00874663" w:rsidP="00874663">
      <w:pPr>
        <w:pStyle w:val="DipnotMetni"/>
      </w:pPr>
      <w:r>
        <w:rPr>
          <w:rStyle w:val="DipnotBavurusu"/>
        </w:rPr>
        <w:footnoteRef/>
      </w:r>
      <w:r>
        <w:t xml:space="preserve"> </w:t>
      </w:r>
      <w:r>
        <w:fldChar w:fldCharType="begin"/>
      </w:r>
      <w:r w:rsidR="00D0695D">
        <w:instrText xml:space="preserve"> ADDIN ZOTERO_ITEM CSL_CITATION {"citationID":"YNnA6eCb","properties":{"formattedCitation":"el-Me\\uc0\\u351{}hed\\uc0\\u226{}n\\uc0\\u238{}, \\uc0\\u8220{}Ru\\uc0\\u8217{}ye Ced\\uc0\\u238{}de F\\uc0\\u238{} Us\\uc0\\u251{}li\\uc0\\u8217{}t-Tic\\uc0\\u226{}reti\\uc0\\u8217{}l-K\\uc0\\u226{}rimiyye\\uc0\\u8221{}, 176.","plainCitation":"el-Meşhedânî, “Ru’ye Cedîde Fî Usûli’t-Ticâreti’l-Kârimiyye”, 176.","noteIndex":34},"citationItems":[{"id":339,"uris":["http://zotero.org/users/17128450/items/7AN8WKU9"],"itemData":{"id":339,"type":"article-journal","container-title":"Havliyyetu'l-Muntedâ Li'd-Dirâsâti'l-Insâniyye","DOI":"10.35519/0828-000-039-007","event-place":"Irak","ISSN":"1998-0841","page":"167–202","publisher":"el-Muntedâ'l-vatanî li-ebhâsi'l-fikr ve's-sekâfe","publisher-place":"Irak","source":"El-Manzûme","title":"Ru'ye Cedîde Fî Usûli't-Ticâreti'l-Kârimiyye","volume":"39","author":[{"family":"Meşhedânî","given":"Yâsir","non-dropping-particle":"el-"}],"issued":{"date-parts":[["2019",7]]}},"locator":"176","label":"page"}],"schema":"https://github.com/citation-style-language/schema/raw/master/csl-citation.json"} </w:instrText>
      </w:r>
      <w:r>
        <w:fldChar w:fldCharType="separate"/>
      </w:r>
      <w:r w:rsidRPr="00874663">
        <w:rPr>
          <w:rFonts w:ascii="Calibri" w:hAnsi="Calibri" w:cs="Calibri"/>
          <w:kern w:val="0"/>
        </w:rPr>
        <w:t>el-Meşhedânî, “Ru’ye Cedîde Fî Usûli’t-Ticâreti’l-Kârimiyye”, 176.</w:t>
      </w:r>
      <w:r>
        <w:fldChar w:fldCharType="end"/>
      </w:r>
    </w:p>
  </w:footnote>
  <w:footnote w:id="35">
    <w:p w14:paraId="1786E95A" w14:textId="77777777" w:rsidR="004C102C" w:rsidRDefault="004C102C" w:rsidP="004C102C">
      <w:pPr>
        <w:pStyle w:val="DipnotMetni"/>
      </w:pPr>
      <w:r>
        <w:rPr>
          <w:rStyle w:val="DipnotBavurusu"/>
        </w:rPr>
        <w:footnoteRef/>
      </w:r>
      <w:r>
        <w:t xml:space="preserve"> </w:t>
      </w:r>
      <w:r>
        <w:fldChar w:fldCharType="begin"/>
      </w:r>
      <w:r>
        <w:instrText xml:space="preserve"> ADDIN ZOTERO_ITEM CSL_CITATION {"citationID":"lKgGB5aN","properties":{"formattedCitation":"Leb\\uc0\\u238{}b, \\uc0\\u8220{}Et-Ticc\\uc0\\u226{}ru\\uc0\\u8217{}l-K\\uc0\\u226{}rimiyye Ve Tic\\uc0\\u226{}retu Misr F\\uc0\\u238{}\\uc0\\u8217{}l-Us\\uc0\\u251{}ri\\uc0\\u8217{}l-Vust\\uc0\\u226{}\\uc0\\u8221{}, 16.","plainCitation":"Lebîb, “Et-Ticcâru’l-Kârimiyye Ve Ticâretu Misr Fî’l-Usûri’l-Vustâ”, 16.","noteIndex":32},"citationItems":[{"id":337,"uris":["http://zotero.org/users/17128450/items/NJ6X5RCQ"],"itemData":{"id":337,"type":"article-journal","container-title":"El-Manzûme","issue":"2","page":"5-63","title":"Et-Ticcâru'l-Kârimiyye Ve Ticâretu Misr Fî'l-Usûri'l-Vustâ","volume":"4","author":[{"family":"Lebîb","given":"Subhî"}],"issued":{"date-parts":[["2019"]]}},"locator":"16"}],"schema":"https://github.com/citation-style-language/schema/raw/master/csl-citation.json"} </w:instrText>
      </w:r>
      <w:r>
        <w:fldChar w:fldCharType="separate"/>
      </w:r>
      <w:r w:rsidRPr="00313717">
        <w:rPr>
          <w:rFonts w:ascii="Calibri" w:hAnsi="Calibri" w:cs="Calibri"/>
          <w:kern w:val="0"/>
        </w:rPr>
        <w:t>Lebîb, “Et-Ticcâru’l-Kârimiyye Ve Ticâretu Misr Fî’l-Usûri’l-Vustâ”, 16.</w:t>
      </w:r>
      <w:r>
        <w:fldChar w:fldCharType="end"/>
      </w:r>
    </w:p>
  </w:footnote>
  <w:footnote w:id="36">
    <w:p w14:paraId="69416431" w14:textId="77777777" w:rsidR="00DB090C" w:rsidRDefault="00DB090C" w:rsidP="00DB090C">
      <w:pPr>
        <w:pStyle w:val="DipnotMetni"/>
      </w:pPr>
      <w:r>
        <w:rPr>
          <w:rStyle w:val="DipnotBavurusu"/>
        </w:rPr>
        <w:footnoteRef/>
      </w:r>
      <w:r>
        <w:t xml:space="preserve"> </w:t>
      </w:r>
      <w:r>
        <w:fldChar w:fldCharType="begin"/>
      </w:r>
      <w:r>
        <w:instrText xml:space="preserve"> ADDIN ZOTERO_ITEM CSL_CITATION {"citationID":"V8emAbNV","properties":{"formattedCitation":"Leb\\uc0\\u238{}b, \\uc0\\u8220{}Et-Ticc\\uc0\\u226{}ru\\uc0\\u8217{}l-K\\uc0\\u226{}rimiyye Ve Tic\\uc0\\u226{}retu Misr F\\uc0\\u238{}\\uc0\\u8217{}l-Us\\uc0\\u251{}ri\\uc0\\u8217{}l-Vust\\uc0\\u226{}\\uc0\\u8221{}, 39.","plainCitation":"Lebîb, “Et-Ticcâru’l-Kârimiyye Ve Ticâretu Misr Fî’l-Usûri’l-Vustâ”, 39.","noteIndex":36},"citationItems":[{"id":337,"uris":["http://zotero.org/users/17128450/items/NJ6X5RCQ"],"itemData":{"id":337,"type":"article-journal","container-title":"El-Manzûme","issue":"2","page":"5-63","title":"Et-Ticcâru'l-Kârimiyye Ve Ticâretu Misr Fî'l-Usûri'l-Vustâ","volume":"4","author":[{"family":"Lebîb","given":"Subhî"}],"issued":{"date-parts":[["2019"]]}},"locator":"39"}],"schema":"https://github.com/citation-style-language/schema/raw/master/csl-citation.json"} </w:instrText>
      </w:r>
      <w:r>
        <w:fldChar w:fldCharType="separate"/>
      </w:r>
      <w:r w:rsidRPr="00DB090C">
        <w:rPr>
          <w:rFonts w:ascii="Calibri" w:hAnsi="Calibri" w:cs="Calibri"/>
          <w:kern w:val="0"/>
        </w:rPr>
        <w:t>Lebîb, “Et-Ticcâru’l-Kârimiyye Ve Ticâretu Misr Fî’l-Usûri’l-Vustâ”, 39.</w:t>
      </w:r>
      <w:r>
        <w:fldChar w:fldCharType="end"/>
      </w:r>
    </w:p>
  </w:footnote>
  <w:footnote w:id="37">
    <w:p w14:paraId="54561C5E" w14:textId="70F9FE7B" w:rsidR="00FA4A87" w:rsidRDefault="00FA4A87">
      <w:pPr>
        <w:pStyle w:val="DipnotMetni"/>
      </w:pPr>
      <w:r>
        <w:rPr>
          <w:rStyle w:val="DipnotBavurusu"/>
        </w:rPr>
        <w:footnoteRef/>
      </w:r>
      <w:r>
        <w:t xml:space="preserve"> </w:t>
      </w:r>
      <w:r>
        <w:fldChar w:fldCharType="begin"/>
      </w:r>
      <w:r>
        <w:instrText xml:space="preserve"> ADDIN ZOTERO_ITEM CSL_CITATION {"citationID":"7eVNiSDn","properties":{"formattedCitation":"e\\uc0\\u351{}-\\uc0\\u350{}ara\\uc0\\u8217{}, \\uc0\\u8220{}Tic\\uc0\\u226{}retu\\uc0\\u8217{}l-k\\uc0\\u226{}rim fi\\uc0\\u8217{}l-us\\uc0\\u251{}ri\\uc0\\u8217{}l-vust\\uc0\\u226{}\\uc0\\u8221{}, 214.","plainCitation":"eş-Şara’, “Ticâretu’l-kârim fi’l-usûri’l-vustâ”, 214.","noteIndex":32},"citationItems":[{"id":347,"uris":["http://zotero.org/users/17128450/items/K4RBT3VA"],"itemData":{"id":347,"type":"article-journal","container-title":"Fikr ve İbdâ’","event-place":"Mısır","page":"205–220","publisher":"Râbitatu'l-Edebi'l-Hadîs","publisher-place":"Mısır","source":"El-Manzûme","title":"Ticâretu'l-kârim fi'l-usûri'l-vustâ","volume":"103","author":[{"family":"Şara’","given":"Mâcide Mevlûd Ramadân","non-dropping-particle":"eş-"}],"issued":{"date-parts":[["2016",8]]}},"locator":"214"}],"schema":"https://github.com/citation-style-language/schema/raw/master/csl-citation.json"} </w:instrText>
      </w:r>
      <w:r>
        <w:fldChar w:fldCharType="separate"/>
      </w:r>
      <w:r w:rsidRPr="00FA4A87">
        <w:rPr>
          <w:rFonts w:ascii="Calibri" w:hAnsi="Calibri" w:cs="Calibri"/>
          <w:kern w:val="0"/>
        </w:rPr>
        <w:t>eş-Şara’, “Ticâretu’l-kârim fi’l-usûri’l-vustâ”, 214.</w:t>
      </w:r>
      <w:r>
        <w:fldChar w:fldCharType="end"/>
      </w:r>
    </w:p>
  </w:footnote>
  <w:footnote w:id="38">
    <w:p w14:paraId="73A443C8" w14:textId="77777777" w:rsidR="0062544A" w:rsidRDefault="0062544A" w:rsidP="0062544A">
      <w:pPr>
        <w:pStyle w:val="DipnotMetni"/>
      </w:pPr>
      <w:r>
        <w:rPr>
          <w:rStyle w:val="DipnotBavurusu"/>
        </w:rPr>
        <w:footnoteRef/>
      </w:r>
      <w:r>
        <w:t xml:space="preserve"> </w:t>
      </w:r>
      <w:r>
        <w:fldChar w:fldCharType="begin"/>
      </w:r>
      <w:r>
        <w:instrText xml:space="preserve"> ADDIN ZOTERO_ITEM CSL_CITATION {"citationID":"YLRr3oX3","properties":{"formattedCitation":"e\\uc0\\u351{}-\\uc0\\u350{}ara\\uc0\\u8217{}, \\uc0\\u8220{}Tic\\uc0\\u226{}retu\\uc0\\u8217{}l-k\\uc0\\u226{}rim fi\\uc0\\u8217{}l-us\\uc0\\u251{}ri\\uc0\\u8217{}l-vust\\uc0\\u226{}\\uc0\\u8221{}, 20.","plainCitation":"eş-Şara’, “Ticâretu’l-kârim fi’l-usûri’l-vustâ”, 20.","noteIndex":38},"citationItems":[{"id":347,"uris":["http://zotero.org/users/17128450/items/K4RBT3VA"],"itemData":{"id":347,"type":"article-journal","container-title":"Fikr ve İbdâ’","event-place":"Mısır","page":"205–220","publisher":"Râbitatu'l-Edebi'l-Hadîs","publisher-place":"Mısır","source":"El-Manzûme","title":"Ticâretu'l-kârim fi'l-usûri'l-vustâ","volume":"103","author":[{"family":"Şara’","given":"Mâcide Mevlûd Ramadân","non-dropping-particle":"eş-"}],"issued":{"date-parts":[["2016",8]]}},"locator":"20"}],"schema":"https://github.com/citation-style-language/schema/raw/master/csl-citation.json"} </w:instrText>
      </w:r>
      <w:r>
        <w:fldChar w:fldCharType="separate"/>
      </w:r>
      <w:r w:rsidRPr="006B1800">
        <w:rPr>
          <w:rFonts w:ascii="Calibri" w:hAnsi="Calibri" w:cs="Calibri"/>
          <w:kern w:val="0"/>
        </w:rPr>
        <w:t>eş-Şara’, “Ticâretu’l-kârim fi’l-usûri’l-vustâ”, 20.</w:t>
      </w:r>
      <w:r>
        <w:fldChar w:fldCharType="end"/>
      </w:r>
    </w:p>
  </w:footnote>
  <w:footnote w:id="39">
    <w:p w14:paraId="3FA31C57" w14:textId="77777777" w:rsidR="0062544A" w:rsidRDefault="0062544A" w:rsidP="0062544A">
      <w:pPr>
        <w:pStyle w:val="DipnotMetni"/>
      </w:pPr>
      <w:r>
        <w:rPr>
          <w:rStyle w:val="DipnotBavurusu"/>
        </w:rPr>
        <w:footnoteRef/>
      </w:r>
      <w:r>
        <w:t xml:space="preserve"> </w:t>
      </w:r>
      <w:r>
        <w:fldChar w:fldCharType="begin"/>
      </w:r>
      <w:r>
        <w:instrText xml:space="preserve"> ADDIN ZOTERO_ITEM CSL_CITATION {"citationID":"QHMPhxjE","properties":{"formattedCitation":"Leb\\uc0\\u238{}b, \\uc0\\u8220{}Et-Ticc\\uc0\\u226{}ru\\uc0\\u8217{}l-K\\uc0\\u226{}rimiyye Ve Tic\\uc0\\u226{}retu Misr F\\uc0\\u238{}\\uc0\\u8217{}l-Us\\uc0\\u251{}ri\\uc0\\u8217{}l-Vust\\uc0\\u226{}\\uc0\\u8221{}, 40.","plainCitation":"Lebîb, “Et-Ticcâru’l-Kârimiyye Ve Ticâretu Misr Fî’l-Usûri’l-Vustâ”, 40.","noteIndex":38},"citationItems":[{"id":337,"uris":["http://zotero.org/users/17128450/items/NJ6X5RCQ"],"itemData":{"id":337,"type":"article-journal","container-title":"El-Manzûme","issue":"2","page":"5-63","title":"Et-Ticcâru'l-Kârimiyye Ve Ticâretu Misr Fî'l-Usûri'l-Vustâ","volume":"4","author":[{"family":"Lebîb","given":"Subhî"}],"issued":{"date-parts":[["2019"]]}},"locator":"40"}],"schema":"https://github.com/citation-style-language/schema/raw/master/csl-citation.json"} </w:instrText>
      </w:r>
      <w:r>
        <w:fldChar w:fldCharType="separate"/>
      </w:r>
      <w:r w:rsidRPr="009A542E">
        <w:rPr>
          <w:rFonts w:ascii="Calibri" w:hAnsi="Calibri" w:cs="Calibri"/>
          <w:kern w:val="0"/>
        </w:rPr>
        <w:t>Lebîb, “Et-Ticcâru’l-Kârimiyye Ve Ticâretu Misr Fî’l-Usûri’l-Vustâ”, 40.</w:t>
      </w:r>
      <w:r>
        <w:fldChar w:fldCharType="end"/>
      </w:r>
    </w:p>
  </w:footnote>
  <w:footnote w:id="40">
    <w:p w14:paraId="105393B5" w14:textId="07B8D901" w:rsidR="00376307" w:rsidRDefault="00376307">
      <w:pPr>
        <w:pStyle w:val="DipnotMetni"/>
      </w:pPr>
      <w:r>
        <w:rPr>
          <w:rStyle w:val="DipnotBavurusu"/>
        </w:rPr>
        <w:footnoteRef/>
      </w:r>
      <w:r>
        <w:t xml:space="preserve"> </w:t>
      </w:r>
      <w:r>
        <w:fldChar w:fldCharType="begin"/>
      </w:r>
      <w:r>
        <w:instrText xml:space="preserve"> ADDIN ZOTERO_ITEM CSL_CITATION {"citationID":"apxLISym","properties":{"formattedCitation":"el-Me\\uc0\\u351{}hed\\uc0\\u226{}n\\uc0\\u238{}, \\uc0\\u8220{}Ru\\uc0\\u8217{}ye Ced\\uc0\\u238{}de F\\uc0\\u238{} Us\\uc0\\u251{}li\\uc0\\u8217{}t-Tic\\uc0\\u226{}reti\\uc0\\u8217{}l-K\\uc0\\u226{}rimiyye\\uc0\\u8221{}, 187.","plainCitation":"el-Meşhedânî, “Ru’ye Cedîde Fî Usûli’t-Ticâreti’l-Kârimiyye”, 187.","noteIndex":40},"citationItems":[{"id":339,"uris":["http://zotero.org/users/17128450/items/7AN8WKU9"],"itemData":{"id":339,"type":"article-journal","container-title":"Havliyyetu'l-Muntedâ Li'd-Dirâsâti'l-Insâniyye","DOI":"10.35519/0828-000-039-007","event-place":"Irak","ISSN":"1998-0841","page":"167–202","publisher":"el-Muntedâ'l-vatanî li-ebhâsi'l-fikr ve's-sekâfe","publisher-place":"Irak","source":"El-Manzûme","title":"Ru'ye Cedîde Fî Usûli't-Ticâreti'l-Kârimiyye","volume":"39","author":[{"family":"Meşhedânî","given":"Yâsir","non-dropping-particle":"el-"}],"issued":{"date-parts":[["2019",7]]}},"locator":"187"}],"schema":"https://github.com/citation-style-language/schema/raw/master/csl-citation.json"} </w:instrText>
      </w:r>
      <w:r>
        <w:fldChar w:fldCharType="separate"/>
      </w:r>
      <w:r w:rsidRPr="00376307">
        <w:rPr>
          <w:rFonts w:ascii="Calibri" w:hAnsi="Calibri" w:cs="Calibri"/>
          <w:kern w:val="0"/>
        </w:rPr>
        <w:t>el-Meşhedânî, “Ru’ye Cedîde Fî Usûli’t-Ticâreti’l-Kârimiyye”, 187.</w:t>
      </w:r>
      <w:r>
        <w:fldChar w:fldCharType="end"/>
      </w:r>
    </w:p>
  </w:footnote>
  <w:footnote w:id="41">
    <w:p w14:paraId="44F27076" w14:textId="6EF4CFD4" w:rsidR="00376307" w:rsidRDefault="00376307">
      <w:pPr>
        <w:pStyle w:val="DipnotMetni"/>
      </w:pPr>
      <w:r>
        <w:rPr>
          <w:rStyle w:val="DipnotBavurusu"/>
        </w:rPr>
        <w:footnoteRef/>
      </w:r>
      <w:r>
        <w:t xml:space="preserve"> </w:t>
      </w:r>
      <w:r>
        <w:fldChar w:fldCharType="begin"/>
      </w:r>
      <w:r>
        <w:instrText xml:space="preserve"> ADDIN ZOTERO_ITEM CSL_CITATION {"citationID":"KT4N2WPA","properties":{"formattedCitation":"el-Me\\uc0\\u351{}hed\\uc0\\u226{}n\\uc0\\u238{}, \\uc0\\u8220{}Ru\\uc0\\u8217{}ye Ced\\uc0\\u238{}de F\\uc0\\u238{} Us\\uc0\\u251{}li\\uc0\\u8217{}t-Tic\\uc0\\u226{}reti\\uc0\\u8217{}l-K\\uc0\\u226{}rimiyye\\uc0\\u8221{}, 188.","plainCitation":"el-Meşhedânî, “Ru’ye Cedîde Fî Usûli’t-Ticâreti’l-Kârimiyye”, 188.","noteIndex":41},"citationItems":[{"id":339,"uris":["http://zotero.org/users/17128450/items/7AN8WKU9"],"itemData":{"id":339,"type":"article-journal","container-title":"Havliyyetu'l-Muntedâ Li'd-Dirâsâti'l-Insâniyye","DOI":"10.35519/0828-000-039-007","event-place":"Irak","ISSN":"1998-0841","page":"167–202","publisher":"el-Muntedâ'l-vatanî li-ebhâsi'l-fikr ve's-sekâfe","publisher-place":"Irak","source":"El-Manzûme","title":"Ru'ye Cedîde Fî Usûli't-Ticâreti'l-Kârimiyye","volume":"39","author":[{"family":"Meşhedânî","given":"Yâsir","non-dropping-particle":"el-"}],"issued":{"date-parts":[["2019",7]]}},"locator":"188"}],"schema":"https://github.com/citation-style-language/schema/raw/master/csl-citation.json"} </w:instrText>
      </w:r>
      <w:r>
        <w:fldChar w:fldCharType="separate"/>
      </w:r>
      <w:r w:rsidRPr="00376307">
        <w:rPr>
          <w:rFonts w:ascii="Calibri" w:hAnsi="Calibri" w:cs="Calibri"/>
          <w:kern w:val="0"/>
        </w:rPr>
        <w:t>el-Meşhedânî, “Ru’ye Cedîde Fî Usûli’t-Ticâreti’l-Kârimiyye”, 188.</w:t>
      </w:r>
      <w:r>
        <w:fldChar w:fldCharType="end"/>
      </w:r>
    </w:p>
  </w:footnote>
  <w:footnote w:id="42">
    <w:p w14:paraId="5A95C168" w14:textId="112AF11D" w:rsidR="00D40A00" w:rsidRDefault="00D40A00">
      <w:pPr>
        <w:pStyle w:val="DipnotMetni"/>
      </w:pPr>
      <w:r>
        <w:rPr>
          <w:rStyle w:val="DipnotBavurusu"/>
        </w:rPr>
        <w:footnoteRef/>
      </w:r>
      <w:r>
        <w:t xml:space="preserve"> </w:t>
      </w:r>
      <w:r>
        <w:fldChar w:fldCharType="begin"/>
      </w:r>
      <w:r>
        <w:instrText xml:space="preserve"> ADDIN ZOTERO_ITEM CSL_CITATION {"citationID":"utKbXBOC","properties":{"formattedCitation":"el-Me\\uc0\\u351{}hed\\uc0\\u226{}n\\uc0\\u238{}, \\uc0\\u8220{}Ru\\uc0\\u8217{}ye Ced\\uc0\\u238{}de F\\uc0\\u238{} Us\\uc0\\u251{}li\\uc0\\u8217{}t-Tic\\uc0\\u226{}reti\\uc0\\u8217{}l-K\\uc0\\u226{}rimiyye\\uc0\\u8221{}, 189-190.","plainCitation":"el-Meşhedânî, “Ru’ye Cedîde Fî Usûli’t-Ticâreti’l-Kârimiyye”, 189-190.","noteIndex":42},"citationItems":[{"id":339,"uris":["http://zotero.org/users/17128450/items/7AN8WKU9"],"itemData":{"id":339,"type":"article-journal","container-title":"Havliyyetu'l-Muntedâ Li'd-Dirâsâti'l-Insâniyye","DOI":"10.35519/0828-000-039-007","event-place":"Irak","ISSN":"1998-0841","page":"167–202","publisher":"el-Muntedâ'l-vatanî li-ebhâsi'l-fikr ve's-sekâfe","publisher-place":"Irak","source":"El-Manzûme","title":"Ru'ye Cedîde Fî Usûli't-Ticâreti'l-Kârimiyye","volume":"39","author":[{"family":"Meşhedânî","given":"Yâsir","non-dropping-particle":"el-"}],"issued":{"date-parts":[["2019",7]]}},"locator":"189-190"}],"schema":"https://github.com/citation-style-language/schema/raw/master/csl-citation.json"} </w:instrText>
      </w:r>
      <w:r>
        <w:fldChar w:fldCharType="separate"/>
      </w:r>
      <w:r w:rsidRPr="00D40A00">
        <w:rPr>
          <w:rFonts w:ascii="Calibri" w:hAnsi="Calibri" w:cs="Calibri"/>
          <w:kern w:val="0"/>
        </w:rPr>
        <w:t>el-Meşhedânî, “Ru’ye Cedîde Fî Usûli’t-Ticâreti’l-Kârimiyye”, 189-190.</w:t>
      </w:r>
      <w:r>
        <w:fldChar w:fldCharType="end"/>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601A29"/>
    <w:multiLevelType w:val="hybridMultilevel"/>
    <w:tmpl w:val="4A3E9FF6"/>
    <w:lvl w:ilvl="0" w:tplc="D4764744">
      <w:start w:val="20"/>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56DE5096"/>
    <w:multiLevelType w:val="multilevel"/>
    <w:tmpl w:val="95462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26205600">
    <w:abstractNumId w:val="1"/>
  </w:num>
  <w:num w:numId="2" w16cid:durableId="4193319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2FF"/>
    <w:rsid w:val="00004E06"/>
    <w:rsid w:val="00012943"/>
    <w:rsid w:val="00021E3C"/>
    <w:rsid w:val="00066F5E"/>
    <w:rsid w:val="00076BB0"/>
    <w:rsid w:val="000874EB"/>
    <w:rsid w:val="000A172C"/>
    <w:rsid w:val="000B1A3C"/>
    <w:rsid w:val="000C2643"/>
    <w:rsid w:val="000E407E"/>
    <w:rsid w:val="00112906"/>
    <w:rsid w:val="001176B9"/>
    <w:rsid w:val="001549F3"/>
    <w:rsid w:val="0018127A"/>
    <w:rsid w:val="001C56AD"/>
    <w:rsid w:val="001C7203"/>
    <w:rsid w:val="00213381"/>
    <w:rsid w:val="002246DD"/>
    <w:rsid w:val="00231C90"/>
    <w:rsid w:val="00252DEC"/>
    <w:rsid w:val="002551EB"/>
    <w:rsid w:val="002571BA"/>
    <w:rsid w:val="00294F99"/>
    <w:rsid w:val="00296841"/>
    <w:rsid w:val="002E08C4"/>
    <w:rsid w:val="002E6426"/>
    <w:rsid w:val="002F2BCE"/>
    <w:rsid w:val="00306187"/>
    <w:rsid w:val="00306F18"/>
    <w:rsid w:val="00313717"/>
    <w:rsid w:val="0031612D"/>
    <w:rsid w:val="00334A49"/>
    <w:rsid w:val="003502FF"/>
    <w:rsid w:val="00357911"/>
    <w:rsid w:val="0036013C"/>
    <w:rsid w:val="00364A31"/>
    <w:rsid w:val="00376307"/>
    <w:rsid w:val="003E2D95"/>
    <w:rsid w:val="00402D44"/>
    <w:rsid w:val="00406847"/>
    <w:rsid w:val="004126EB"/>
    <w:rsid w:val="0041362A"/>
    <w:rsid w:val="0043341B"/>
    <w:rsid w:val="0045139B"/>
    <w:rsid w:val="004548E3"/>
    <w:rsid w:val="004831A3"/>
    <w:rsid w:val="004C102C"/>
    <w:rsid w:val="004C3F7A"/>
    <w:rsid w:val="0053047F"/>
    <w:rsid w:val="005327FD"/>
    <w:rsid w:val="00534B7F"/>
    <w:rsid w:val="00562A60"/>
    <w:rsid w:val="0057411B"/>
    <w:rsid w:val="005B32B9"/>
    <w:rsid w:val="005E5D86"/>
    <w:rsid w:val="0062544A"/>
    <w:rsid w:val="00644BA8"/>
    <w:rsid w:val="00675E76"/>
    <w:rsid w:val="00677A5A"/>
    <w:rsid w:val="0068252E"/>
    <w:rsid w:val="006A04A6"/>
    <w:rsid w:val="006B1800"/>
    <w:rsid w:val="006E501B"/>
    <w:rsid w:val="00701EAF"/>
    <w:rsid w:val="00713E36"/>
    <w:rsid w:val="00755F99"/>
    <w:rsid w:val="007615AE"/>
    <w:rsid w:val="0078502E"/>
    <w:rsid w:val="007B4E57"/>
    <w:rsid w:val="007B5FD6"/>
    <w:rsid w:val="007C27B5"/>
    <w:rsid w:val="007C4849"/>
    <w:rsid w:val="007E28A6"/>
    <w:rsid w:val="007E756A"/>
    <w:rsid w:val="00812BBB"/>
    <w:rsid w:val="00857013"/>
    <w:rsid w:val="00874663"/>
    <w:rsid w:val="008810F8"/>
    <w:rsid w:val="008827E7"/>
    <w:rsid w:val="00891266"/>
    <w:rsid w:val="0089208A"/>
    <w:rsid w:val="008D5E31"/>
    <w:rsid w:val="008F67BB"/>
    <w:rsid w:val="00917382"/>
    <w:rsid w:val="009338FB"/>
    <w:rsid w:val="00950F77"/>
    <w:rsid w:val="009642D8"/>
    <w:rsid w:val="009A542E"/>
    <w:rsid w:val="009A78B2"/>
    <w:rsid w:val="009B0344"/>
    <w:rsid w:val="009B1917"/>
    <w:rsid w:val="009D2C03"/>
    <w:rsid w:val="00A143B7"/>
    <w:rsid w:val="00A177B7"/>
    <w:rsid w:val="00A3666B"/>
    <w:rsid w:val="00A414C4"/>
    <w:rsid w:val="00A46F15"/>
    <w:rsid w:val="00A55069"/>
    <w:rsid w:val="00A55E0F"/>
    <w:rsid w:val="00A8719A"/>
    <w:rsid w:val="00AA4AFC"/>
    <w:rsid w:val="00AC209E"/>
    <w:rsid w:val="00AE18D5"/>
    <w:rsid w:val="00AE2EE2"/>
    <w:rsid w:val="00AF74F2"/>
    <w:rsid w:val="00B256B1"/>
    <w:rsid w:val="00B538C5"/>
    <w:rsid w:val="00B75193"/>
    <w:rsid w:val="00BC00C7"/>
    <w:rsid w:val="00BE7B3D"/>
    <w:rsid w:val="00C17178"/>
    <w:rsid w:val="00C17CE3"/>
    <w:rsid w:val="00C34BA4"/>
    <w:rsid w:val="00C42BF1"/>
    <w:rsid w:val="00C479FC"/>
    <w:rsid w:val="00C53A42"/>
    <w:rsid w:val="00C7521F"/>
    <w:rsid w:val="00C83771"/>
    <w:rsid w:val="00C845C7"/>
    <w:rsid w:val="00CA52E0"/>
    <w:rsid w:val="00CD3152"/>
    <w:rsid w:val="00CE1987"/>
    <w:rsid w:val="00CE6A44"/>
    <w:rsid w:val="00D0287E"/>
    <w:rsid w:val="00D0695D"/>
    <w:rsid w:val="00D34A1A"/>
    <w:rsid w:val="00D40A00"/>
    <w:rsid w:val="00D6060C"/>
    <w:rsid w:val="00D841E4"/>
    <w:rsid w:val="00DB090C"/>
    <w:rsid w:val="00DC3584"/>
    <w:rsid w:val="00DE24EC"/>
    <w:rsid w:val="00DF318A"/>
    <w:rsid w:val="00E0302C"/>
    <w:rsid w:val="00E15105"/>
    <w:rsid w:val="00E1538F"/>
    <w:rsid w:val="00E350C0"/>
    <w:rsid w:val="00E54EEA"/>
    <w:rsid w:val="00E6194F"/>
    <w:rsid w:val="00E62DA7"/>
    <w:rsid w:val="00EB2C3E"/>
    <w:rsid w:val="00ED2891"/>
    <w:rsid w:val="00EF69D8"/>
    <w:rsid w:val="00F12B79"/>
    <w:rsid w:val="00F150CC"/>
    <w:rsid w:val="00F226DE"/>
    <w:rsid w:val="00F27741"/>
    <w:rsid w:val="00F300B8"/>
    <w:rsid w:val="00F87A13"/>
    <w:rsid w:val="00FA4A87"/>
    <w:rsid w:val="00FC34EE"/>
    <w:rsid w:val="00FF55D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25A37"/>
  <w15:chartTrackingRefBased/>
  <w15:docId w15:val="{D8C0CB80-ED68-42A9-AA8D-30D97BB54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tr-TR"/>
    </w:rPr>
  </w:style>
  <w:style w:type="paragraph" w:styleId="Balk1">
    <w:name w:val="heading 1"/>
    <w:basedOn w:val="Normal"/>
    <w:next w:val="Normal"/>
    <w:link w:val="Balk1Char"/>
    <w:uiPriority w:val="9"/>
    <w:qFormat/>
    <w:rsid w:val="003502F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3502F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3502FF"/>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3502FF"/>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3502FF"/>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3502FF"/>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3502FF"/>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3502FF"/>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3502FF"/>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3502FF"/>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3502FF"/>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3502FF"/>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3502FF"/>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3502FF"/>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3502FF"/>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3502FF"/>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3502FF"/>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3502FF"/>
    <w:rPr>
      <w:rFonts w:eastAsiaTheme="majorEastAsia" w:cstheme="majorBidi"/>
      <w:color w:val="272727" w:themeColor="text1" w:themeTint="D8"/>
    </w:rPr>
  </w:style>
  <w:style w:type="paragraph" w:styleId="KonuBal">
    <w:name w:val="Title"/>
    <w:basedOn w:val="Normal"/>
    <w:next w:val="Normal"/>
    <w:link w:val="KonuBalChar"/>
    <w:uiPriority w:val="10"/>
    <w:qFormat/>
    <w:rsid w:val="003502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3502FF"/>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3502FF"/>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3502FF"/>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3502FF"/>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3502FF"/>
    <w:rPr>
      <w:i/>
      <w:iCs/>
      <w:color w:val="404040" w:themeColor="text1" w:themeTint="BF"/>
    </w:rPr>
  </w:style>
  <w:style w:type="paragraph" w:styleId="ListeParagraf">
    <w:name w:val="List Paragraph"/>
    <w:basedOn w:val="Normal"/>
    <w:uiPriority w:val="34"/>
    <w:qFormat/>
    <w:rsid w:val="003502FF"/>
    <w:pPr>
      <w:ind w:left="720"/>
      <w:contextualSpacing/>
    </w:pPr>
  </w:style>
  <w:style w:type="character" w:styleId="GlVurgulama">
    <w:name w:val="Intense Emphasis"/>
    <w:basedOn w:val="VarsaylanParagrafYazTipi"/>
    <w:uiPriority w:val="21"/>
    <w:qFormat/>
    <w:rsid w:val="003502FF"/>
    <w:rPr>
      <w:i/>
      <w:iCs/>
      <w:color w:val="2F5496" w:themeColor="accent1" w:themeShade="BF"/>
    </w:rPr>
  </w:style>
  <w:style w:type="paragraph" w:styleId="GlAlnt">
    <w:name w:val="Intense Quote"/>
    <w:basedOn w:val="Normal"/>
    <w:next w:val="Normal"/>
    <w:link w:val="GlAlntChar"/>
    <w:uiPriority w:val="30"/>
    <w:qFormat/>
    <w:rsid w:val="003502F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3502FF"/>
    <w:rPr>
      <w:i/>
      <w:iCs/>
      <w:color w:val="2F5496" w:themeColor="accent1" w:themeShade="BF"/>
    </w:rPr>
  </w:style>
  <w:style w:type="character" w:styleId="GlBavuru">
    <w:name w:val="Intense Reference"/>
    <w:basedOn w:val="VarsaylanParagrafYazTipi"/>
    <w:uiPriority w:val="32"/>
    <w:qFormat/>
    <w:rsid w:val="003502FF"/>
    <w:rPr>
      <w:b/>
      <w:bCs/>
      <w:smallCaps/>
      <w:color w:val="2F5496" w:themeColor="accent1" w:themeShade="BF"/>
      <w:spacing w:val="5"/>
    </w:rPr>
  </w:style>
  <w:style w:type="paragraph" w:styleId="NormalWeb">
    <w:name w:val="Normal (Web)"/>
    <w:basedOn w:val="Normal"/>
    <w:uiPriority w:val="99"/>
    <w:unhideWhenUsed/>
    <w:rsid w:val="003502FF"/>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DipnotMetni">
    <w:name w:val="footnote text"/>
    <w:basedOn w:val="Normal"/>
    <w:link w:val="DipnotMetniChar"/>
    <w:uiPriority w:val="99"/>
    <w:semiHidden/>
    <w:unhideWhenUsed/>
    <w:rsid w:val="00E1538F"/>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E1538F"/>
    <w:rPr>
      <w:sz w:val="20"/>
      <w:szCs w:val="20"/>
      <w:lang w:val="tr-TR"/>
    </w:rPr>
  </w:style>
  <w:style w:type="character" w:styleId="DipnotBavurusu">
    <w:name w:val="footnote reference"/>
    <w:basedOn w:val="VarsaylanParagrafYazTipi"/>
    <w:uiPriority w:val="99"/>
    <w:semiHidden/>
    <w:unhideWhenUsed/>
    <w:rsid w:val="00E1538F"/>
    <w:rPr>
      <w:vertAlign w:val="superscript"/>
    </w:rPr>
  </w:style>
  <w:style w:type="character" w:styleId="Gl">
    <w:name w:val="Strong"/>
    <w:basedOn w:val="VarsaylanParagrafYazTipi"/>
    <w:uiPriority w:val="22"/>
    <w:qFormat/>
    <w:rsid w:val="00231C90"/>
    <w:rPr>
      <w:b/>
      <w:bCs/>
    </w:rPr>
  </w:style>
  <w:style w:type="character" w:styleId="Vurgu">
    <w:name w:val="Emphasis"/>
    <w:basedOn w:val="VarsaylanParagrafYazTipi"/>
    <w:uiPriority w:val="20"/>
    <w:qFormat/>
    <w:rsid w:val="00231C90"/>
    <w:rPr>
      <w:i/>
      <w:iCs/>
    </w:rPr>
  </w:style>
  <w:style w:type="paragraph" w:styleId="Kaynaka">
    <w:name w:val="Bibliography"/>
    <w:basedOn w:val="Normal"/>
    <w:next w:val="Normal"/>
    <w:uiPriority w:val="37"/>
    <w:unhideWhenUsed/>
    <w:rsid w:val="00F87A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A291D60-D121-4F95-97C7-BFB3E75D2B7C}">
  <we:reference id="f78a3046-9e99-4300-aa2b-5814002b01a2" version="1.55.1.0" store="EXCatalog" storeType="EXCatalog"/>
  <we:alternateReferences>
    <we:reference id="WA104382081" version="1.55.1.0" store="en-US" storeType="OMEX"/>
  </we:alternateReferences>
  <we:properties>
    <we:property name="MENDELEY_CITATIONS" val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1b5767f4-516a-4d66-be3e-99e99760e18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Belge" ma:contentTypeID="0x0101006FAF7DAD54B1734CB7EDD0B7B787A67F" ma:contentTypeVersion="6" ma:contentTypeDescription="Yeni belge oluşturun." ma:contentTypeScope="" ma:versionID="2e8a9d3c72cf18680c917673d82eeebc">
  <xsd:schema xmlns:xsd="http://www.w3.org/2001/XMLSchema" xmlns:xs="http://www.w3.org/2001/XMLSchema" xmlns:p="http://schemas.microsoft.com/office/2006/metadata/properties" xmlns:ns3="1b5767f4-516a-4d66-be3e-99e99760e185" targetNamespace="http://schemas.microsoft.com/office/2006/metadata/properties" ma:root="true" ma:fieldsID="6436d0328c26d81269a4db690f861b5f" ns3:_="">
    <xsd:import namespace="1b5767f4-516a-4d66-be3e-99e99760e185"/>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5767f4-516a-4d66-be3e-99e99760e185"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ISO690Nmerical.XSL" StyleName="ISO 690 - Numerical Reference" Version="1987"/>
</file>

<file path=customXml/itemProps1.xml><?xml version="1.0" encoding="utf-8"?>
<ds:datastoreItem xmlns:ds="http://schemas.openxmlformats.org/officeDocument/2006/customXml" ds:itemID="{24F020E5-C0DC-40BA-8438-7DD22694D5FD}">
  <ds:schemaRefs>
    <ds:schemaRef ds:uri="http://schemas.microsoft.com/office/2006/metadata/properties"/>
    <ds:schemaRef ds:uri="http://schemas.microsoft.com/office/infopath/2007/PartnerControls"/>
    <ds:schemaRef ds:uri="1b5767f4-516a-4d66-be3e-99e99760e185"/>
  </ds:schemaRefs>
</ds:datastoreItem>
</file>

<file path=customXml/itemProps2.xml><?xml version="1.0" encoding="utf-8"?>
<ds:datastoreItem xmlns:ds="http://schemas.openxmlformats.org/officeDocument/2006/customXml" ds:itemID="{A6E73A18-EA84-4AE4-BBC5-C2DFCA72ED36}">
  <ds:schemaRefs>
    <ds:schemaRef ds:uri="http://schemas.microsoft.com/sharepoint/v3/contenttype/forms"/>
  </ds:schemaRefs>
</ds:datastoreItem>
</file>

<file path=customXml/itemProps3.xml><?xml version="1.0" encoding="utf-8"?>
<ds:datastoreItem xmlns:ds="http://schemas.openxmlformats.org/officeDocument/2006/customXml" ds:itemID="{A3513E4B-976E-456D-A99F-ACF7584AAF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5767f4-516a-4d66-be3e-99e99760e1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466B42D-D618-4DCF-9C94-B593C815AD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5451</Words>
  <Characters>31072</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NOOR EMAD MOHAMMAD EBU AWWAD</dc:creator>
  <cp:keywords/>
  <dc:description/>
  <cp:lastModifiedBy>Esra KÖŞELİ</cp:lastModifiedBy>
  <cp:revision>3</cp:revision>
  <dcterms:created xsi:type="dcterms:W3CDTF">2026-05-12T13:43:00Z</dcterms:created>
  <dcterms:modified xsi:type="dcterms:W3CDTF">2026-05-13T08:34:00Z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zotero-version="7.0.31"&gt;&lt;session id="GtW8COEP"/&gt;&lt;style id="http://www.zotero.org/styles/isnad-dipnotlu" locale="tr-TR" hasBibliography="1" bibliographyStyleHasBeenSet="1"/&gt;&lt;prefs&gt;&lt;pref name="noteType" value="1"/&gt;&lt;pref name="fieldTyp</vt:lpwstr>
  </property>
  <property fmtid="{D5CDD505-2E9C-101B-9397-08002B2CF9AE}" pid="3" name="ZOTERO_PREF_2">
    <vt:lpwstr>e" value="Field"/&gt;&lt;/prefs&gt;&lt;/data&gt;</vt:lpwstr>
  </property>
  <property fmtid="{D5CDD505-2E9C-101B-9397-08002B2CF9AE}" pid="4" name="ContentTypeId">
    <vt:lpwstr>0x0101006FAF7DAD54B1734CB7EDD0B7B787A67F</vt:lpwstr>
  </property>
</Properties>
</file>