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'MÜSLÜMANCA DÜŞÜNMEK NASIL OLUR: TEFKİR VE TEFEKKÜR'' </w:t>
      </w:r>
    </w:p>
    <w:p w:rsidR="00000000" w:rsidDel="00000000" w:rsidP="00000000" w:rsidRDefault="00000000" w:rsidRPr="00000000" w14:paraId="00000002">
      <w:pPr>
        <w:pStyle w:val="Heading2"/>
        <w:keepNext w:val="0"/>
        <w:keepLines w:val="0"/>
        <w:spacing w:after="240" w:before="240" w:lineRule="auto"/>
        <w:jc w:val="both"/>
        <w:rPr>
          <w:rFonts w:ascii="Times New Roman" w:cs="Times New Roman" w:eastAsia="Times New Roman" w:hAnsi="Times New Roman"/>
          <w:sz w:val="23"/>
          <w:szCs w:val="23"/>
        </w:rPr>
      </w:pPr>
      <w:bookmarkStart w:colFirst="0" w:colLast="0" w:name="_3gpcr5o1x8s4" w:id="0"/>
      <w:bookmarkEnd w:id="0"/>
      <w:r w:rsidDel="00000000" w:rsidR="00000000" w:rsidRPr="00000000">
        <w:rPr>
          <w:rFonts w:ascii="Times New Roman" w:cs="Times New Roman" w:eastAsia="Times New Roman" w:hAnsi="Times New Roman"/>
          <w:sz w:val="23"/>
          <w:szCs w:val="23"/>
          <w:rtl w:val="0"/>
        </w:rPr>
        <w:t xml:space="preserve">Dil, yalnızca türetme gücüyle değil, kullanım gücüyle de kuvvet kazanır. Örneğin Arapçada “tefekkür” ve “tefkîr” kelimeleri türetim açısından “fikir” anlamında birleşseler de, kullanım açısından ve alınış zamanları bakımından ayrılırlar. Nitekim ilk dönem İslâm âlimleri “tefekkür” kavramını kullanırken, sonraki dönemlerde bu kavram terk edilmiş ve yerine “tefkîr” kavramı yaygınlaşmıştır. Kur’an-ı Kerim’de ise bu iki kavram arasında belirgin farklar vardır. Nitekim “tefekkür” fiili 17 ayette geçer ve genellikle ayetlerin sonunda ibret ifadesiyle (“Düşünmüyorlar mı?”, “Belki düşünürler”) yer alır. “tefkîr” fiili ise yalnızca bir ayette geçer ve Velid b. Muğire’nin Kur’an’ı beğenmesine rağmen halkın baskısıyla hakikatin tersini söylemesi bağlamında kullanılır. Bu kullanım farkları, tefekkürün daha yaygın, daha değerli, doğrudan bir eylem olduğunu ve diri hakikatle uyumlu bulunduğunu göstermektedir. Tefkîr ise dolaylıdır, başka eylemlerle birlikte anılır ve hakikatten kopuk olabilir.</w:t>
      </w:r>
    </w:p>
    <w:p w:rsidR="00000000" w:rsidDel="00000000" w:rsidP="00000000" w:rsidRDefault="00000000" w:rsidRPr="00000000" w14:paraId="00000003">
      <w:pPr>
        <w:pStyle w:val="Heading2"/>
        <w:keepNext w:val="0"/>
        <w:keepLines w:val="0"/>
        <w:spacing w:after="240" w:before="240" w:lineRule="auto"/>
        <w:jc w:val="both"/>
        <w:rPr>
          <w:rFonts w:ascii="Times New Roman" w:cs="Times New Roman" w:eastAsia="Times New Roman" w:hAnsi="Times New Roman"/>
          <w:sz w:val="23"/>
          <w:szCs w:val="23"/>
        </w:rPr>
      </w:pPr>
      <w:bookmarkStart w:colFirst="0" w:colLast="0" w:name="_3gpcr5o1x8s4" w:id="0"/>
      <w:bookmarkEnd w:id="0"/>
      <w:r w:rsidDel="00000000" w:rsidR="00000000" w:rsidRPr="00000000">
        <w:rPr>
          <w:rFonts w:ascii="Times New Roman" w:cs="Times New Roman" w:eastAsia="Times New Roman" w:hAnsi="Times New Roman"/>
          <w:sz w:val="23"/>
          <w:szCs w:val="23"/>
          <w:rtl w:val="0"/>
        </w:rPr>
        <w:t xml:space="preserve">Taha Abdurrahman’a göre fikir ile eylem arasında “asli bir bağlantı” vardır. Bu bağlantı sonradan kurulan dışsal bir ilişki değil, fikrin özüne ait yapısal bir bütünlüktür. Fikir, iki boyutta eylemle iç içedir. Bunlar kıvam (yapı) ve kıyam (değer)dir. Bu bütünlük “emanet ilişkisi” üzerinden gerçekleşir ve insanın Allah’la yaptığı iki temel misakla korunur.</w:t>
      </w:r>
    </w:p>
    <w:p w:rsidR="00000000" w:rsidDel="00000000" w:rsidP="00000000" w:rsidRDefault="00000000" w:rsidRPr="00000000" w14:paraId="00000004">
      <w:pPr>
        <w:pStyle w:val="Heading2"/>
        <w:keepNext w:val="0"/>
        <w:keepLines w:val="0"/>
        <w:spacing w:after="240" w:before="240" w:lineRule="auto"/>
        <w:jc w:val="both"/>
        <w:rPr>
          <w:rFonts w:ascii="Times New Roman" w:cs="Times New Roman" w:eastAsia="Times New Roman" w:hAnsi="Times New Roman"/>
          <w:sz w:val="23"/>
          <w:szCs w:val="23"/>
        </w:rPr>
      </w:pPr>
      <w:bookmarkStart w:colFirst="0" w:colLast="0" w:name="_3gpcr5o1x8s4" w:id="0"/>
      <w:bookmarkEnd w:id="0"/>
      <w:r w:rsidDel="00000000" w:rsidR="00000000" w:rsidRPr="00000000">
        <w:rPr>
          <w:rFonts w:ascii="Times New Roman" w:cs="Times New Roman" w:eastAsia="Times New Roman" w:hAnsi="Times New Roman"/>
          <w:sz w:val="23"/>
          <w:szCs w:val="23"/>
          <w:rtl w:val="0"/>
        </w:rPr>
        <w:t xml:space="preserve">Bu misaklardan ilki İşhad Misakıdır. Bu misak insana “İlk Tefekkür”ü kazandırmıştır. Bu ilk tefekkürün dört özelliği vardır: Sıdk (doğruluk), yani fikir ile hâl arasında tam mutabakat; Teveccüh (yönelme), yani tüm idrak güçleriyle hitaba yönelme; Tezekkür (hatırlama), yani ilk bilgiyi sürekli hafızada tutma; Şükür, yani Allah’ın lütfunu tanıma ve minnettarlık.</w:t>
      </w:r>
    </w:p>
    <w:p w:rsidR="00000000" w:rsidDel="00000000" w:rsidP="00000000" w:rsidRDefault="00000000" w:rsidRPr="00000000" w14:paraId="00000005">
      <w:pPr>
        <w:pStyle w:val="Heading2"/>
        <w:keepNext w:val="0"/>
        <w:keepLines w:val="0"/>
        <w:spacing w:after="240" w:before="240" w:lineRule="auto"/>
        <w:jc w:val="both"/>
        <w:rPr>
          <w:rFonts w:ascii="Times New Roman" w:cs="Times New Roman" w:eastAsia="Times New Roman" w:hAnsi="Times New Roman"/>
          <w:sz w:val="23"/>
          <w:szCs w:val="23"/>
        </w:rPr>
      </w:pPr>
      <w:bookmarkStart w:colFirst="0" w:colLast="0" w:name="_3gpcr5o1x8s4" w:id="0"/>
      <w:bookmarkEnd w:id="0"/>
      <w:r w:rsidDel="00000000" w:rsidR="00000000" w:rsidRPr="00000000">
        <w:rPr>
          <w:rFonts w:ascii="Times New Roman" w:cs="Times New Roman" w:eastAsia="Times New Roman" w:hAnsi="Times New Roman"/>
          <w:sz w:val="23"/>
          <w:szCs w:val="23"/>
          <w:rtl w:val="0"/>
        </w:rPr>
        <w:t xml:space="preserve">İkinci misak ise İstîman Misakıdır. Bu misak insana “İlk Yüklenme”yi kazandırmıştır. Bu misakın da dört özelliği vardır: Vücûbiyet (gereklilik), yani değerlerin varlıktan önce gelmesi; Tevhid (birlik), yani vücuttaki, fıtrattaki ve risaletteki değerlerin birliği; Fıtrat, yani değerlerin insanın iç dünyasındaki mekânı; Âyet, yani değerlerin dış dünyadaki mekânı ve her şeyin ilahî bir işaret olması.</w:t>
      </w:r>
    </w:p>
    <w:p w:rsidR="00000000" w:rsidDel="00000000" w:rsidP="00000000" w:rsidRDefault="00000000" w:rsidRPr="00000000" w14:paraId="00000006">
      <w:pPr>
        <w:pStyle w:val="Heading2"/>
        <w:keepNext w:val="0"/>
        <w:keepLines w:val="0"/>
        <w:spacing w:after="240" w:before="240" w:lineRule="auto"/>
        <w:jc w:val="both"/>
        <w:rPr>
          <w:rFonts w:ascii="Times New Roman" w:cs="Times New Roman" w:eastAsia="Times New Roman" w:hAnsi="Times New Roman"/>
          <w:sz w:val="23"/>
          <w:szCs w:val="23"/>
        </w:rPr>
      </w:pPr>
      <w:bookmarkStart w:colFirst="0" w:colLast="0" w:name="_3gpcr5o1x8s4" w:id="0"/>
      <w:bookmarkEnd w:id="0"/>
      <w:r w:rsidDel="00000000" w:rsidR="00000000" w:rsidRPr="00000000">
        <w:rPr>
          <w:rFonts w:ascii="Times New Roman" w:cs="Times New Roman" w:eastAsia="Times New Roman" w:hAnsi="Times New Roman"/>
          <w:sz w:val="23"/>
          <w:szCs w:val="23"/>
          <w:rtl w:val="0"/>
        </w:rPr>
        <w:t xml:space="preserve">Buna göre mütefekkir, özünde iki misakı hatırlayan ve koruyan kişidir. İlk Tefekkür’ü kalbinde canlı tutar: samimi, odaklı, hatırlayan ve şükredicidir. İlk Yüklenme’yi sürdürür: değerleri önceleyen, birliği gören, fıtratına başvuran, her şeyi âyet olarak okuyan biridir. Fikri eylemle bütünleşiktir; hem yapısal hem de değer boyutunda. Düşüncesi diri hakikatle uyumludur ve insanın misakî kimliğini korur. Müfekkir ise iki misakı da ya unutmuş ya da ihmal etmiş kişidir. İlk Tefekkür’den kopmuştur, İlk Yüklenme’den uzaktır; varlığı değerden soyutlar, değerler arasında parçalanma yaşar. Fikri eylemden kopuktur. Düşüncesi hakikatten kopuk, hatta zaman zaman hakikate aykırı olabilir. Bu durumda insanın misakî kimliği zedelenmiş olur.</w:t>
      </w:r>
    </w:p>
    <w:p w:rsidR="00000000" w:rsidDel="00000000" w:rsidP="00000000" w:rsidRDefault="00000000" w:rsidRPr="00000000" w14:paraId="00000007">
      <w:pPr>
        <w:pStyle w:val="Heading2"/>
        <w:keepNext w:val="0"/>
        <w:keepLines w:val="0"/>
        <w:spacing w:after="240" w:before="240" w:lineRule="auto"/>
        <w:jc w:val="both"/>
        <w:rPr/>
      </w:pPr>
      <w:bookmarkStart w:colFirst="0" w:colLast="0" w:name="_ycwc2o8as2cs" w:id="1"/>
      <w:bookmarkEnd w:id="1"/>
      <w:r w:rsidDel="00000000" w:rsidR="00000000" w:rsidRPr="00000000">
        <w:rPr>
          <w:rFonts w:ascii="Times New Roman" w:cs="Times New Roman" w:eastAsia="Times New Roman" w:hAnsi="Times New Roman"/>
          <w:sz w:val="23"/>
          <w:szCs w:val="23"/>
          <w:rtl w:val="0"/>
        </w:rPr>
        <w:t xml:space="preserve">Sonuç olarak “tefekkür” ile “tefkîr” arasındaki fark, yalnızca terminolojik bir tercih değil, insanın varoluşsal konumunu belirleyen temel bir ayrımdır. Tefekkür, insanın Allah’la kurduğu ilk ilişkiyi hatırlayarak düşünmesi, fikri eylemle bütünleştirmesi ve değerlerle donatmasıdır. Tefkîr ise bu bağı koparmış, soyutlanmış ve parçalanmış bir düşünme biçimidir. İslâm düşünce geleneğinde “tefekkür”den “tefkîr”e geçiş, sadece bir kelime değişimi değil; düşünme pratiğinde yaşanan derin bir dönüşümü ve kaybı simgeler. Bu kayıp, fikrin eylemden, değerin varlıktan, bütünün parçalardan, hakikatin görüngüden ve nihayetinde insanın kendi asli kimliğinden kopuşunu ifade eder.</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